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87" w:rsidRDefault="003108AB" w:rsidP="00E16D2D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UPDATING</w:t>
      </w:r>
      <w:r w:rsidR="00E16D2D" w:rsidRPr="00E16D2D">
        <w:rPr>
          <w:sz w:val="32"/>
          <w:szCs w:val="32"/>
          <w:u w:val="single"/>
        </w:rPr>
        <w:t xml:space="preserve"> CONFORMANCE REPORTS</w:t>
      </w:r>
    </w:p>
    <w:p w:rsidR="00E16D2D" w:rsidRPr="00E16D2D" w:rsidRDefault="00E16D2D" w:rsidP="00E16D2D">
      <w:pPr>
        <w:pStyle w:val="ListParagraph"/>
        <w:numPr>
          <w:ilvl w:val="0"/>
          <w:numId w:val="1"/>
        </w:numPr>
      </w:pPr>
      <w:r w:rsidRPr="00E16D2D">
        <w:t xml:space="preserve">Print GLTB </w:t>
      </w:r>
      <w:r w:rsidR="009F1522">
        <w:t>S</w:t>
      </w:r>
      <w:r w:rsidR="009F1522" w:rsidRPr="00E16D2D">
        <w:t xml:space="preserve">ummary </w:t>
      </w:r>
      <w:r w:rsidR="009F1522" w:rsidRPr="00F5731E">
        <w:rPr>
          <w:u w:val="single"/>
        </w:rPr>
        <w:t>and</w:t>
      </w:r>
      <w:r w:rsidR="009F1522">
        <w:t xml:space="preserve"> D</w:t>
      </w:r>
      <w:r w:rsidR="009F1522" w:rsidRPr="00E16D2D">
        <w:t>etail</w:t>
      </w:r>
      <w:r w:rsidR="009F1522">
        <w:t xml:space="preserve"> </w:t>
      </w:r>
      <w:r>
        <w:t>in “landscape”</w:t>
      </w:r>
      <w:r w:rsidR="005C6945">
        <w:t xml:space="preserve"> (at same time because numbers could differ if run on separate days)</w:t>
      </w:r>
    </w:p>
    <w:p w:rsidR="00E16D2D" w:rsidRPr="00E16D2D" w:rsidRDefault="00E16D2D" w:rsidP="00E16D2D">
      <w:pPr>
        <w:pStyle w:val="ListParagraph"/>
        <w:numPr>
          <w:ilvl w:val="0"/>
          <w:numId w:val="2"/>
        </w:numPr>
      </w:pPr>
      <w:r w:rsidRPr="00E16D2D">
        <w:t>Summary: enter s(summary), month by number, m (monthly)</w:t>
      </w:r>
      <w:r w:rsidR="0053449B">
        <w:t xml:space="preserve"> (P2)</w:t>
      </w:r>
    </w:p>
    <w:p w:rsidR="00E16D2D" w:rsidRDefault="00E16D2D" w:rsidP="00E16D2D">
      <w:pPr>
        <w:pStyle w:val="ListParagraph"/>
        <w:numPr>
          <w:ilvl w:val="0"/>
          <w:numId w:val="2"/>
        </w:numPr>
      </w:pPr>
      <w:r w:rsidRPr="00E16D2D">
        <w:t>Detail: enter d (detail)</w:t>
      </w:r>
      <w:r w:rsidR="0053449B">
        <w:t xml:space="preserve"> (P8)</w:t>
      </w:r>
    </w:p>
    <w:p w:rsidR="0053449B" w:rsidRPr="00E16D2D" w:rsidRDefault="0053449B" w:rsidP="00E16D2D">
      <w:pPr>
        <w:pStyle w:val="ListParagraph"/>
        <w:numPr>
          <w:ilvl w:val="0"/>
          <w:numId w:val="2"/>
        </w:numPr>
      </w:pPr>
      <w:r>
        <w:t>Press GL Account Definition Button (P2/P8) to Select List (P3/P9)</w:t>
      </w:r>
    </w:p>
    <w:p w:rsidR="00E16D2D" w:rsidRDefault="009F1522" w:rsidP="00E16D2D">
      <w:pPr>
        <w:pStyle w:val="ListParagraph"/>
        <w:numPr>
          <w:ilvl w:val="0"/>
          <w:numId w:val="2"/>
        </w:numPr>
      </w:pPr>
      <w:r>
        <w:t>Select List: include 9 under D</w:t>
      </w:r>
      <w:r w:rsidR="00E16D2D" w:rsidRPr="00E16D2D">
        <w:t xml:space="preserve">epartment and 7 and 8 under </w:t>
      </w:r>
      <w:r>
        <w:t>Object C</w:t>
      </w:r>
      <w:r w:rsidR="00E16D2D" w:rsidRPr="00E16D2D">
        <w:t>ode</w:t>
      </w:r>
      <w:r w:rsidR="0053449B">
        <w:t xml:space="preserve"> </w:t>
      </w:r>
    </w:p>
    <w:p w:rsidR="00E16D2D" w:rsidRDefault="009F1522" w:rsidP="00E16D2D">
      <w:pPr>
        <w:pStyle w:val="ListParagraph"/>
        <w:numPr>
          <w:ilvl w:val="0"/>
          <w:numId w:val="2"/>
        </w:numPr>
      </w:pPr>
      <w:r>
        <w:t>S</w:t>
      </w:r>
      <w:r w:rsidRPr="00E16D2D">
        <w:t xml:space="preserve">ummary </w:t>
      </w:r>
      <w:r w:rsidRPr="00F5731E">
        <w:rPr>
          <w:u w:val="single"/>
        </w:rPr>
        <w:t>and</w:t>
      </w:r>
      <w:r>
        <w:t xml:space="preserve"> D</w:t>
      </w:r>
      <w:r w:rsidRPr="00E16D2D">
        <w:t>etail</w:t>
      </w:r>
      <w:r>
        <w:t xml:space="preserve"> </w:t>
      </w:r>
      <w:r w:rsidR="00E16D2D">
        <w:t xml:space="preserve">to be </w:t>
      </w:r>
      <w:r>
        <w:t>sorted</w:t>
      </w:r>
      <w:r w:rsidR="00E16D2D">
        <w:t xml:space="preserve"> by department</w:t>
      </w:r>
    </w:p>
    <w:p w:rsidR="00A10390" w:rsidRDefault="009F1522" w:rsidP="00A10390">
      <w:pPr>
        <w:pStyle w:val="ListParagraph"/>
        <w:numPr>
          <w:ilvl w:val="0"/>
          <w:numId w:val="2"/>
        </w:numPr>
      </w:pPr>
      <w:r>
        <w:t>S</w:t>
      </w:r>
      <w:r w:rsidRPr="00E16D2D">
        <w:t xml:space="preserve">ummary </w:t>
      </w:r>
      <w:r w:rsidRPr="00F5731E">
        <w:rPr>
          <w:u w:val="single"/>
        </w:rPr>
        <w:t>and</w:t>
      </w:r>
      <w:r>
        <w:t xml:space="preserve"> D</w:t>
      </w:r>
      <w:r w:rsidRPr="00E16D2D">
        <w:t>etail</w:t>
      </w:r>
      <w:r>
        <w:t xml:space="preserve"> </w:t>
      </w:r>
      <w:r w:rsidR="00E16D2D" w:rsidRPr="00E16D2D">
        <w:t>go out with conformance reports</w:t>
      </w:r>
    </w:p>
    <w:p w:rsidR="00E16D2D" w:rsidRDefault="00B72890" w:rsidP="00A10390">
      <w:pPr>
        <w:pStyle w:val="ListParagraph"/>
        <w:numPr>
          <w:ilvl w:val="0"/>
          <w:numId w:val="1"/>
        </w:numPr>
      </w:pPr>
      <w:r>
        <w:t xml:space="preserve">The Conformance Report workbooks are found in the Special Programs shared drive.  </w:t>
      </w:r>
      <w:r w:rsidR="00E16D2D">
        <w:t xml:space="preserve">Update “conformance report” workbook </w:t>
      </w:r>
      <w:r w:rsidR="00A10390">
        <w:t xml:space="preserve">using the </w:t>
      </w:r>
      <w:r w:rsidR="005C6945">
        <w:t xml:space="preserve">GLTB </w:t>
      </w:r>
      <w:r w:rsidR="00A10390">
        <w:t>summaries</w:t>
      </w:r>
      <w:r w:rsidR="00F5731E">
        <w:t>.  Each grant has its own worksheet within the workbook.</w:t>
      </w:r>
    </w:p>
    <w:p w:rsidR="00A10390" w:rsidRDefault="005C6945" w:rsidP="00A10390">
      <w:pPr>
        <w:pStyle w:val="ListParagraph"/>
        <w:numPr>
          <w:ilvl w:val="0"/>
          <w:numId w:val="3"/>
        </w:numPr>
      </w:pPr>
      <w:r>
        <w:t>Make sure “cumulative” includes any added columns</w:t>
      </w:r>
    </w:p>
    <w:p w:rsidR="00A10390" w:rsidRPr="00A10390" w:rsidRDefault="005C6945" w:rsidP="00A10390">
      <w:pPr>
        <w:pStyle w:val="ListParagraph"/>
        <w:numPr>
          <w:ilvl w:val="0"/>
          <w:numId w:val="3"/>
        </w:numPr>
      </w:pPr>
      <w:r>
        <w:t xml:space="preserve">Added columns need to be reflected under “direct &amp; indirect” </w:t>
      </w:r>
      <w:r w:rsidR="00F5731E">
        <w:t xml:space="preserve">worksheet in the appropriate month column for </w:t>
      </w:r>
      <w:r>
        <w:t xml:space="preserve">direct </w:t>
      </w:r>
      <w:r w:rsidR="00F5731E">
        <w:t>expense.  This is accomplished by establishing links back to the individual grant worksheets.</w:t>
      </w:r>
      <w:r w:rsidR="00A10390" w:rsidRPr="00A10390">
        <w:rPr>
          <w:rFonts w:cs="Arial"/>
          <w:color w:val="000000"/>
        </w:rPr>
        <w:t xml:space="preserve"> </w:t>
      </w:r>
    </w:p>
    <w:p w:rsidR="005C6945" w:rsidRPr="00E16D2D" w:rsidRDefault="00A10390" w:rsidP="00A10390">
      <w:pPr>
        <w:pStyle w:val="ListParagraph"/>
        <w:numPr>
          <w:ilvl w:val="0"/>
          <w:numId w:val="3"/>
        </w:numPr>
      </w:pPr>
      <w:r>
        <w:rPr>
          <w:rFonts w:cs="Arial"/>
          <w:color w:val="000000"/>
        </w:rPr>
        <w:t>Confirm cumulative t</w:t>
      </w:r>
      <w:r w:rsidRPr="00A10390">
        <w:rPr>
          <w:rFonts w:cs="Arial"/>
          <w:color w:val="000000"/>
        </w:rPr>
        <w:t xml:space="preserve">otals on conformance </w:t>
      </w:r>
      <w:r>
        <w:rPr>
          <w:rFonts w:cs="Arial"/>
          <w:color w:val="000000"/>
        </w:rPr>
        <w:t>worksheets reflect general ledger activity for the period of the grant accurately.</w:t>
      </w:r>
      <w:r w:rsidRPr="00A10390">
        <w:rPr>
          <w:rFonts w:cs="Arial"/>
          <w:color w:val="000000"/>
        </w:rPr>
        <w:t xml:space="preserve"> Look at detail</w:t>
      </w:r>
      <w:r w:rsidR="00D97611">
        <w:rPr>
          <w:rFonts w:cs="Arial"/>
          <w:color w:val="000000"/>
        </w:rPr>
        <w:t>ed</w:t>
      </w:r>
      <w:r w:rsidRPr="00A10390">
        <w:rPr>
          <w:rFonts w:cs="Arial"/>
          <w:color w:val="000000"/>
        </w:rPr>
        <w:t xml:space="preserve"> GLTB to find difference and update the grant conformance worksheet accordingly.</w:t>
      </w:r>
      <w:r w:rsidRPr="00A10390">
        <w:t xml:space="preserve"> </w:t>
      </w:r>
      <w:r w:rsidR="003108AB">
        <w:t xml:space="preserve">For example, </w:t>
      </w:r>
      <w:r w:rsidR="00D97611">
        <w:t xml:space="preserve">Conformance worksheet and GLTB </w:t>
      </w:r>
      <w:r w:rsidRPr="00A10390">
        <w:rPr>
          <w:rFonts w:cs="Arial"/>
          <w:color w:val="000000"/>
        </w:rPr>
        <w:t xml:space="preserve">may differ if Student Payroll, journal entry, or other activity was </w:t>
      </w:r>
      <w:r w:rsidR="00D97611">
        <w:rPr>
          <w:rFonts w:cs="Arial"/>
          <w:color w:val="000000"/>
        </w:rPr>
        <w:t>posted</w:t>
      </w:r>
      <w:r w:rsidRPr="00A10390">
        <w:rPr>
          <w:rFonts w:cs="Arial"/>
          <w:color w:val="000000"/>
        </w:rPr>
        <w:t xml:space="preserve"> for </w:t>
      </w:r>
      <w:r w:rsidR="00D97611">
        <w:rPr>
          <w:rFonts w:cs="Arial"/>
          <w:color w:val="000000"/>
        </w:rPr>
        <w:t xml:space="preserve">a </w:t>
      </w:r>
      <w:r w:rsidRPr="00D97611">
        <w:rPr>
          <w:rFonts w:cs="Arial"/>
          <w:color w:val="000000"/>
          <w:u w:val="single"/>
        </w:rPr>
        <w:t>previous</w:t>
      </w:r>
      <w:r w:rsidRPr="00A10390">
        <w:rPr>
          <w:rFonts w:cs="Arial"/>
          <w:color w:val="000000"/>
        </w:rPr>
        <w:t xml:space="preserve"> month.</w:t>
      </w:r>
    </w:p>
    <w:p w:rsidR="00D97611" w:rsidRPr="00D97611" w:rsidRDefault="00D97611" w:rsidP="00D97611">
      <w:pPr>
        <w:pStyle w:val="ListParagraph"/>
        <w:numPr>
          <w:ilvl w:val="0"/>
          <w:numId w:val="1"/>
        </w:numPr>
      </w:pPr>
      <w:r>
        <w:t>After updating all individual grant worksheets, c</w:t>
      </w:r>
      <w:r w:rsidR="00E16D2D">
        <w:t xml:space="preserve">onfirm closing balance (last page of GLTB summary) with program direct cumulative in </w:t>
      </w:r>
      <w:r w:rsidR="00F5731E">
        <w:t xml:space="preserve">the “direct &amp; indirect” worksheet within the </w:t>
      </w:r>
      <w:r w:rsidR="00E16D2D">
        <w:t>Conformance Reports workbook</w:t>
      </w:r>
      <w:r>
        <w:t xml:space="preserve"> to insure that the workbook ties to the general ledger.</w:t>
      </w:r>
      <w:r w:rsidRPr="00D97611">
        <w:rPr>
          <w:rFonts w:cs="Arial"/>
          <w:color w:val="000000"/>
        </w:rPr>
        <w:t xml:space="preserve"> </w:t>
      </w:r>
    </w:p>
    <w:p w:rsidR="00891AF7" w:rsidRPr="00891AF7" w:rsidRDefault="00D97611" w:rsidP="00D97611">
      <w:pPr>
        <w:pStyle w:val="ListParagraph"/>
        <w:numPr>
          <w:ilvl w:val="0"/>
          <w:numId w:val="1"/>
        </w:numPr>
      </w:pPr>
      <w:r>
        <w:rPr>
          <w:rFonts w:cs="Arial"/>
          <w:color w:val="000000"/>
        </w:rPr>
        <w:t xml:space="preserve">Save the Conformance Report file with the name of the month’s activity that was updated.  Example:  Conformance Reports 2-29-12.  </w:t>
      </w:r>
    </w:p>
    <w:p w:rsidR="00E16D2D" w:rsidRDefault="00A10390" w:rsidP="00A10390">
      <w:pPr>
        <w:pStyle w:val="ListParagraph"/>
        <w:numPr>
          <w:ilvl w:val="0"/>
          <w:numId w:val="1"/>
        </w:numPr>
      </w:pPr>
      <w:r>
        <w:t>Print conformance reports after updating in “portrait.”</w:t>
      </w:r>
    </w:p>
    <w:p w:rsidR="005C6945" w:rsidRPr="005C6945" w:rsidRDefault="005C6945" w:rsidP="00E16D2D">
      <w:pPr>
        <w:pStyle w:val="ListParagraph"/>
        <w:numPr>
          <w:ilvl w:val="0"/>
          <w:numId w:val="1"/>
        </w:numPr>
      </w:pPr>
      <w:r>
        <w:t>Copies of conforma</w:t>
      </w:r>
      <w:r w:rsidR="007020A9">
        <w:t xml:space="preserve">nce reports </w:t>
      </w:r>
      <w:r w:rsidR="00F5731E">
        <w:t xml:space="preserve">with activity for the month </w:t>
      </w:r>
      <w:r w:rsidR="007020A9">
        <w:t>go to Principal Investigators</w:t>
      </w:r>
      <w:r>
        <w:t xml:space="preserve"> and </w:t>
      </w:r>
      <w:r w:rsidR="003108AB">
        <w:t>the Sponsored Programs Office</w:t>
      </w:r>
      <w:r>
        <w:rPr>
          <w:rFonts w:cs="Arial"/>
          <w:color w:val="000000"/>
        </w:rPr>
        <w:t xml:space="preserve"> with GLTB summary and Detail, updated letter and if applicable, …Verification… for payroll.</w:t>
      </w:r>
      <w:r w:rsidR="00A435F3">
        <w:rPr>
          <w:rFonts w:cs="Arial"/>
          <w:color w:val="000000"/>
        </w:rPr>
        <w:t xml:space="preserve">  (See Labor Reports Verification.)</w:t>
      </w:r>
    </w:p>
    <w:p w:rsidR="009F1522" w:rsidRDefault="005C6945" w:rsidP="00E16D2D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>Conformance Report letters to be updated and printed can be found in the shared drive under “General”.</w:t>
      </w: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Setup for GLTB Monthly Summary for Conformance Report</w:t>
      </w:r>
    </w:p>
    <w:p w:rsidR="009F1522" w:rsidRDefault="000B45D3">
      <w:pPr>
        <w:spacing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5943600" cy="4456539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449B" w:rsidRDefault="0053449B">
      <w:pPr>
        <w:spacing w:after="0" w:line="240" w:lineRule="auto"/>
        <w:rPr>
          <w:rFonts w:cs="Arial"/>
          <w:color w:val="000000"/>
        </w:rPr>
      </w:pPr>
    </w:p>
    <w:p w:rsidR="0053449B" w:rsidRDefault="0053449B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br w:type="page"/>
      </w:r>
    </w:p>
    <w:p w:rsidR="0053449B" w:rsidRDefault="0053449B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Press Select/List Button</w:t>
      </w:r>
    </w:p>
    <w:p w:rsidR="0053449B" w:rsidRDefault="0053449B">
      <w:pPr>
        <w:spacing w:after="0" w:line="240" w:lineRule="auto"/>
        <w:rPr>
          <w:rFonts w:cs="Arial"/>
          <w:color w:val="000000"/>
        </w:rPr>
      </w:pPr>
      <w:r>
        <w:rPr>
          <w:rFonts w:cs="Arial"/>
          <w:noProof/>
          <w:color w:val="000000"/>
        </w:rPr>
        <w:drawing>
          <wp:inline distT="0" distB="0" distL="0" distR="0">
            <wp:extent cx="5943600" cy="4456539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color w:val="000000"/>
        </w:rPr>
        <w:br w:type="page"/>
      </w: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0B45D3" w:rsidRDefault="000B45D3" w:rsidP="000B45D3">
      <w:pPr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Sample Select List for GLTB Monthly Summary for Conformance Report</w:t>
      </w:r>
    </w:p>
    <w:p w:rsidR="000B45D3" w:rsidRDefault="000B45D3">
      <w:pPr>
        <w:spacing w:after="0" w:line="240" w:lineRule="auto"/>
        <w:rPr>
          <w:rFonts w:cs="Arial"/>
          <w:color w:val="000000"/>
        </w:rPr>
      </w:pPr>
    </w:p>
    <w:p w:rsidR="005C6945" w:rsidRDefault="009F1522" w:rsidP="009F1522">
      <w:pPr>
        <w:pStyle w:val="ListParagraph"/>
      </w:pPr>
      <w:r w:rsidRPr="009F1522">
        <w:rPr>
          <w:noProof/>
        </w:rPr>
        <w:drawing>
          <wp:inline distT="0" distB="0" distL="0" distR="0">
            <wp:extent cx="5943600" cy="44577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45D3" w:rsidRDefault="000B45D3" w:rsidP="009F1522">
      <w:pPr>
        <w:pStyle w:val="ListParagraph"/>
      </w:pPr>
      <w:r>
        <w:br/>
      </w:r>
    </w:p>
    <w:p w:rsidR="000B45D3" w:rsidRDefault="000B45D3">
      <w:pPr>
        <w:spacing w:after="0" w:line="240" w:lineRule="auto"/>
      </w:pPr>
      <w:r>
        <w:br w:type="page"/>
      </w:r>
    </w:p>
    <w:p w:rsidR="000B45D3" w:rsidRDefault="000B45D3" w:rsidP="000B45D3">
      <w:pPr>
        <w:spacing w:after="0" w:line="240" w:lineRule="auto"/>
        <w:rPr>
          <w:rFonts w:cs="Arial"/>
          <w:color w:val="000000"/>
        </w:rPr>
      </w:pPr>
      <w:r>
        <w:lastRenderedPageBreak/>
        <w:t xml:space="preserve">Sample Sort for </w:t>
      </w:r>
      <w:r>
        <w:rPr>
          <w:rFonts w:cs="Arial"/>
          <w:color w:val="000000"/>
        </w:rPr>
        <w:t>GLTB Monthly Summary for Conformance Report</w:t>
      </w:r>
    </w:p>
    <w:p w:rsidR="006E0C81" w:rsidRDefault="006E0C81" w:rsidP="009F1522">
      <w:pPr>
        <w:pStyle w:val="ListParagraph"/>
      </w:pPr>
    </w:p>
    <w:p w:rsidR="006E0C81" w:rsidRDefault="006E0C81" w:rsidP="009F1522">
      <w:pPr>
        <w:pStyle w:val="ListParagraph"/>
      </w:pPr>
      <w:r>
        <w:rPr>
          <w:noProof/>
        </w:rPr>
        <w:drawing>
          <wp:inline distT="0" distB="0" distL="0" distR="0">
            <wp:extent cx="5943600" cy="4456539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C81" w:rsidRDefault="006E0C81" w:rsidP="009F1522">
      <w:pPr>
        <w:pStyle w:val="ListParagraph"/>
      </w:pPr>
    </w:p>
    <w:p w:rsidR="004270EE" w:rsidRDefault="004270EE">
      <w:pPr>
        <w:spacing w:after="0" w:line="240" w:lineRule="auto"/>
      </w:pPr>
      <w:r>
        <w:br w:type="page"/>
      </w:r>
    </w:p>
    <w:p w:rsidR="006E0C81" w:rsidRDefault="004270EE" w:rsidP="009F1522">
      <w:pPr>
        <w:pStyle w:val="ListParagraph"/>
      </w:pPr>
      <w:r>
        <w:lastRenderedPageBreak/>
        <w:t>GLTB Report Print Setup</w:t>
      </w:r>
    </w:p>
    <w:p w:rsidR="006E0C81" w:rsidRDefault="006E0C81" w:rsidP="009F1522">
      <w:pPr>
        <w:pStyle w:val="ListParagraph"/>
      </w:pPr>
      <w:r>
        <w:rPr>
          <w:noProof/>
        </w:rPr>
        <w:drawing>
          <wp:inline distT="0" distB="0" distL="0" distR="0">
            <wp:extent cx="5943600" cy="4456539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34" w:rsidRDefault="00290034" w:rsidP="009F1522">
      <w:pPr>
        <w:pStyle w:val="ListParagraph"/>
      </w:pPr>
    </w:p>
    <w:p w:rsidR="00290034" w:rsidRDefault="00290034">
      <w:pPr>
        <w:spacing w:after="0" w:line="240" w:lineRule="auto"/>
      </w:pPr>
      <w:r>
        <w:br w:type="page"/>
      </w:r>
    </w:p>
    <w:p w:rsidR="006E0C81" w:rsidRDefault="00290034" w:rsidP="009F1522">
      <w:pPr>
        <w:pStyle w:val="ListParagraph"/>
      </w:pPr>
      <w:r>
        <w:lastRenderedPageBreak/>
        <w:t>Monthly Summary GLTB p1</w:t>
      </w:r>
    </w:p>
    <w:p w:rsidR="006E0C81" w:rsidRDefault="00290034" w:rsidP="009F1522">
      <w:pPr>
        <w:pStyle w:val="ListParagraph"/>
      </w:pPr>
      <w:r>
        <w:rPr>
          <w:noProof/>
        </w:rPr>
        <w:drawing>
          <wp:inline distT="0" distB="0" distL="0" distR="0">
            <wp:extent cx="5943600" cy="4456539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034" w:rsidRDefault="00290034" w:rsidP="009F1522">
      <w:pPr>
        <w:pStyle w:val="ListParagraph"/>
      </w:pPr>
    </w:p>
    <w:p w:rsidR="00290034" w:rsidRDefault="00290034">
      <w:pPr>
        <w:spacing w:after="0" w:line="240" w:lineRule="auto"/>
      </w:pPr>
      <w:r>
        <w:br w:type="page"/>
      </w:r>
    </w:p>
    <w:p w:rsidR="00290034" w:rsidRDefault="00290034" w:rsidP="00290034">
      <w:pPr>
        <w:pStyle w:val="ListParagraph"/>
      </w:pPr>
      <w:r>
        <w:lastRenderedPageBreak/>
        <w:t>Monthly Summary GLTB Last Page</w:t>
      </w:r>
    </w:p>
    <w:p w:rsidR="004270EE" w:rsidRDefault="00290034" w:rsidP="009F1522">
      <w:pPr>
        <w:pStyle w:val="ListParagraph"/>
      </w:pPr>
      <w:r>
        <w:rPr>
          <w:noProof/>
        </w:rPr>
        <w:drawing>
          <wp:inline distT="0" distB="0" distL="0" distR="0">
            <wp:extent cx="5943600" cy="4456539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70EE" w:rsidRDefault="004270EE">
      <w:pPr>
        <w:spacing w:after="0" w:line="240" w:lineRule="auto"/>
      </w:pPr>
      <w:r>
        <w:br w:type="page"/>
      </w:r>
    </w:p>
    <w:p w:rsidR="00290034" w:rsidRDefault="006E537E" w:rsidP="006E537E">
      <w:pPr>
        <w:spacing w:after="0" w:line="240" w:lineRule="auto"/>
      </w:pPr>
      <w:r>
        <w:rPr>
          <w:rFonts w:cs="Arial"/>
          <w:color w:val="000000"/>
        </w:rPr>
        <w:lastRenderedPageBreak/>
        <w:t>Setup for GLTB Monthly Detail for Conformance Report</w:t>
      </w:r>
    </w:p>
    <w:p w:rsidR="0044241A" w:rsidRDefault="004270EE" w:rsidP="009F1522">
      <w:pPr>
        <w:pStyle w:val="ListParagraph"/>
      </w:pPr>
      <w:r>
        <w:rPr>
          <w:noProof/>
        </w:rPr>
        <w:drawing>
          <wp:inline distT="0" distB="0" distL="0" distR="0">
            <wp:extent cx="5943600" cy="4456539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65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4241A" w:rsidSect="00A804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4BA" w:rsidRDefault="007C24BA" w:rsidP="007C24BA">
      <w:pPr>
        <w:spacing w:after="0" w:line="240" w:lineRule="auto"/>
      </w:pPr>
      <w:r>
        <w:separator/>
      </w:r>
    </w:p>
  </w:endnote>
  <w:endnote w:type="continuationSeparator" w:id="0">
    <w:p w:rsidR="007C24BA" w:rsidRDefault="007C24BA" w:rsidP="007C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BA" w:rsidRDefault="007C24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43314"/>
      <w:docPartObj>
        <w:docPartGallery w:val="Page Numbers (Bottom of Page)"/>
        <w:docPartUnique/>
      </w:docPartObj>
    </w:sdtPr>
    <w:sdtContent>
      <w:p w:rsidR="007C24BA" w:rsidRDefault="007C24BA">
        <w:pPr>
          <w:pStyle w:val="Footer"/>
          <w:jc w:val="center"/>
        </w:pPr>
        <w:fldSimple w:instr=" PAGE   \* MERGEFORMAT ">
          <w:r w:rsidR="00E43BDC">
            <w:rPr>
              <w:noProof/>
            </w:rPr>
            <w:t>1</w:t>
          </w:r>
        </w:fldSimple>
      </w:p>
    </w:sdtContent>
  </w:sdt>
  <w:p w:rsidR="007C24BA" w:rsidRDefault="007C24B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BA" w:rsidRDefault="007C24B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4BA" w:rsidRDefault="007C24BA" w:rsidP="007C24BA">
      <w:pPr>
        <w:spacing w:after="0" w:line="240" w:lineRule="auto"/>
      </w:pPr>
      <w:r>
        <w:separator/>
      </w:r>
    </w:p>
  </w:footnote>
  <w:footnote w:type="continuationSeparator" w:id="0">
    <w:p w:rsidR="007C24BA" w:rsidRDefault="007C24BA" w:rsidP="007C2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BA" w:rsidRDefault="007C24B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BA" w:rsidRDefault="007C24B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4BA" w:rsidRDefault="007C24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2CC"/>
    <w:multiLevelType w:val="hybridMultilevel"/>
    <w:tmpl w:val="6C208C70"/>
    <w:lvl w:ilvl="0" w:tplc="DB20FD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FE3C8B"/>
    <w:multiLevelType w:val="hybridMultilevel"/>
    <w:tmpl w:val="02C20998"/>
    <w:lvl w:ilvl="0" w:tplc="10061BBA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B064F"/>
    <w:multiLevelType w:val="hybridMultilevel"/>
    <w:tmpl w:val="75A49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920A8"/>
    <w:multiLevelType w:val="hybridMultilevel"/>
    <w:tmpl w:val="1BB66ADA"/>
    <w:lvl w:ilvl="0" w:tplc="CF3CE9B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D3467D6"/>
    <w:multiLevelType w:val="hybridMultilevel"/>
    <w:tmpl w:val="38A8F384"/>
    <w:lvl w:ilvl="0" w:tplc="02F484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D2D"/>
    <w:rsid w:val="000736D2"/>
    <w:rsid w:val="000B45D3"/>
    <w:rsid w:val="001239ED"/>
    <w:rsid w:val="00262A1C"/>
    <w:rsid w:val="00290034"/>
    <w:rsid w:val="003108AB"/>
    <w:rsid w:val="004270EE"/>
    <w:rsid w:val="0044241A"/>
    <w:rsid w:val="0053449B"/>
    <w:rsid w:val="005C6945"/>
    <w:rsid w:val="006E0520"/>
    <w:rsid w:val="006E0C81"/>
    <w:rsid w:val="006E537E"/>
    <w:rsid w:val="007020A9"/>
    <w:rsid w:val="007C24BA"/>
    <w:rsid w:val="00891AF7"/>
    <w:rsid w:val="009152EE"/>
    <w:rsid w:val="0094309D"/>
    <w:rsid w:val="009F1522"/>
    <w:rsid w:val="00A10390"/>
    <w:rsid w:val="00A435F3"/>
    <w:rsid w:val="00A80487"/>
    <w:rsid w:val="00AA0B7A"/>
    <w:rsid w:val="00B72890"/>
    <w:rsid w:val="00BF4B02"/>
    <w:rsid w:val="00CC5AED"/>
    <w:rsid w:val="00D965E0"/>
    <w:rsid w:val="00D97611"/>
    <w:rsid w:val="00E16D2D"/>
    <w:rsid w:val="00E43BDC"/>
    <w:rsid w:val="00EE4D92"/>
    <w:rsid w:val="00F54A1A"/>
    <w:rsid w:val="00F57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8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D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1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2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4B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C24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4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9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 University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dreif</dc:creator>
  <cp:keywords/>
  <dc:description/>
  <cp:lastModifiedBy>fcantwell</cp:lastModifiedBy>
  <cp:revision>8</cp:revision>
  <cp:lastPrinted>2013-05-08T13:46:00Z</cp:lastPrinted>
  <dcterms:created xsi:type="dcterms:W3CDTF">2012-08-31T15:04:00Z</dcterms:created>
  <dcterms:modified xsi:type="dcterms:W3CDTF">2013-05-08T16:09:00Z</dcterms:modified>
</cp:coreProperties>
</file>