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B2" w:rsidRDefault="009F42B2" w:rsidP="009F42B2">
      <w:pPr>
        <w:rPr>
          <w:b/>
        </w:rPr>
      </w:pPr>
    </w:p>
    <w:p w:rsidR="009F42B2" w:rsidRDefault="009F42B2" w:rsidP="009F42B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Due to interrelations between the Endowment Bank Account and the Temp Restricted Bank Account it is helpful to </w:t>
      </w:r>
      <w:r w:rsidR="00096A29">
        <w:rPr>
          <w:b/>
        </w:rPr>
        <w:t>analyze activity for both accounts first prior to completing either bank reconciliation</w:t>
      </w:r>
    </w:p>
    <w:p w:rsidR="009F42B2" w:rsidRDefault="009F42B2" w:rsidP="009F42B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Run a GLTB for 02-00-000000-11010</w:t>
      </w:r>
      <w:r w:rsidR="00096A29">
        <w:rPr>
          <w:b/>
        </w:rPr>
        <w:t xml:space="preserve"> and 03-00-000000-11010</w:t>
      </w:r>
    </w:p>
    <w:p w:rsidR="009F42B2" w:rsidRDefault="009F42B2" w:rsidP="009F42B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Print the GLTB </w:t>
      </w:r>
      <w:r w:rsidR="00096A29">
        <w:rPr>
          <w:b/>
        </w:rPr>
        <w:t xml:space="preserve">for the month to be reconciled </w:t>
      </w:r>
      <w:r>
        <w:rPr>
          <w:b/>
        </w:rPr>
        <w:t>as well as export as a text file</w:t>
      </w:r>
    </w:p>
    <w:p w:rsidR="009F42B2" w:rsidRDefault="009F42B2" w:rsidP="009F42B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Open the text file in excel</w:t>
      </w:r>
    </w:p>
    <w:p w:rsidR="009F42B2" w:rsidRDefault="009F42B2" w:rsidP="009F42B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Obtain the monthly Unrestricted, Temp Restricted, and Endowed cash deposit support from the cashiers</w:t>
      </w:r>
    </w:p>
    <w:p w:rsidR="00096A29" w:rsidRDefault="00096A29" w:rsidP="009F42B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Look at each G/L posting for temp restricted and endowed along with the support obtained from the cashiers</w:t>
      </w:r>
    </w:p>
    <w:p w:rsidR="00096A29" w:rsidRDefault="00096A29" w:rsidP="009F42B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Trace the GL postings to the bank receipts (Indicating on the bank statement the CR#)</w:t>
      </w:r>
    </w:p>
    <w:p w:rsidR="00096A29" w:rsidRDefault="00096A29" w:rsidP="009F42B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Indicate variances identified on the excel GL file that you exported</w:t>
      </w:r>
    </w:p>
    <w:p w:rsidR="00096A29" w:rsidRDefault="00096A29" w:rsidP="00096A29">
      <w:pPr>
        <w:rPr>
          <w:b/>
        </w:rPr>
      </w:pPr>
    </w:p>
    <w:p w:rsidR="00096A29" w:rsidRDefault="00096A29" w:rsidP="00096A29">
      <w:pPr>
        <w:rPr>
          <w:b/>
        </w:rPr>
      </w:pPr>
      <w:r w:rsidRPr="00096A29">
        <w:rPr>
          <w:noProof/>
        </w:rPr>
        <w:drawing>
          <wp:inline distT="0" distB="0" distL="0" distR="0">
            <wp:extent cx="5943600" cy="422925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2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9D2" w:rsidRDefault="00096A29" w:rsidP="00096A29">
      <w:pPr>
        <w:rPr>
          <w:b/>
        </w:rPr>
      </w:pPr>
      <w:r>
        <w:rPr>
          <w:b/>
        </w:rPr>
        <w:t>The above is an example of a monthly analysis of the temp restricted account.  Items indicating “OK” were directly traced to the bank statement.  Note – Currently, all credit card transactions from development are directed t</w:t>
      </w:r>
      <w:r w:rsidR="00E269D2">
        <w:rPr>
          <w:b/>
        </w:rPr>
        <w:t xml:space="preserve">o the temp restricted account (where their credit card machine is linked </w:t>
      </w:r>
      <w:r w:rsidR="00E269D2">
        <w:rPr>
          <w:b/>
        </w:rPr>
        <w:lastRenderedPageBreak/>
        <w:t>to.)  Cashiers are currently recording the development receipts to where the money was deposited (temp restricted account</w:t>
      </w:r>
      <w:proofErr w:type="gramStart"/>
      <w:r w:rsidR="00E269D2">
        <w:rPr>
          <w:b/>
        </w:rPr>
        <w:t>)  Note</w:t>
      </w:r>
      <w:proofErr w:type="gramEnd"/>
      <w:r w:rsidR="00E269D2">
        <w:rPr>
          <w:b/>
        </w:rPr>
        <w:t xml:space="preserve"> that a journal entry needs to be written to reclassify the cash receipt to the account where the cash belongs.  This creates the need for a reconciling item to balance the reconciliation, and a cash transfer to move the cash to where it belongs.</w:t>
      </w:r>
    </w:p>
    <w:p w:rsidR="00E269D2" w:rsidRDefault="00E269D2" w:rsidP="00096A29">
      <w:pPr>
        <w:rPr>
          <w:b/>
        </w:rPr>
      </w:pPr>
    </w:p>
    <w:p w:rsidR="00E269D2" w:rsidRDefault="00E269D2" w:rsidP="00096A29">
      <w:pPr>
        <w:rPr>
          <w:b/>
        </w:rPr>
      </w:pPr>
      <w:r w:rsidRPr="00E269D2">
        <w:rPr>
          <w:noProof/>
        </w:rPr>
        <w:drawing>
          <wp:inline distT="0" distB="0" distL="0" distR="0">
            <wp:extent cx="5943600" cy="2187403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87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A29" w:rsidRDefault="00E269D2" w:rsidP="00096A29">
      <w:pPr>
        <w:rPr>
          <w:b/>
        </w:rPr>
      </w:pPr>
      <w:r>
        <w:rPr>
          <w:b/>
        </w:rPr>
        <w:t xml:space="preserve">The above is an example of the monthly analysis of the Endowed Cash Account.  Note that receipts from Network 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Good can be for either Unrestricted, Temp Restricted or Endowed.  </w:t>
      </w:r>
      <w:r w:rsidR="003A3BA6">
        <w:rPr>
          <w:b/>
        </w:rPr>
        <w:t xml:space="preserve">In contrast to how credit cards are receipted, Network for Good receipts are receipted to where the cash belongs, thus not requiring a journal entry (as is the case with credit cards deposited into temp restricted), but only requiring a transfer in transit item that needs to be corrected by a cash transfer to where the cash belongs.  </w:t>
      </w:r>
      <w:r w:rsidR="00096A29" w:rsidRPr="00096A29">
        <w:rPr>
          <w:b/>
        </w:rPr>
        <w:t xml:space="preserve">  </w:t>
      </w:r>
    </w:p>
    <w:p w:rsidR="003A3BA6" w:rsidRDefault="003A3BA6" w:rsidP="00096A29">
      <w:pPr>
        <w:rPr>
          <w:b/>
        </w:rPr>
      </w:pPr>
    </w:p>
    <w:p w:rsidR="003A3BA6" w:rsidRDefault="003A3BA6" w:rsidP="00096A29">
      <w:pPr>
        <w:rPr>
          <w:b/>
        </w:rPr>
      </w:pPr>
      <w:r>
        <w:rPr>
          <w:b/>
        </w:rPr>
        <w:t>Now that the accounts have been analyzed, the information from the above can be finalized into a formal reconciliation.</w:t>
      </w:r>
    </w:p>
    <w:p w:rsidR="003A3BA6" w:rsidRDefault="003A3BA6" w:rsidP="003A3BA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Copy the prior month reconciliation and update the headings, dates, and bank activity in the top section of the reconciliation.</w:t>
      </w:r>
    </w:p>
    <w:p w:rsidR="003A3BA6" w:rsidRDefault="003A3BA6" w:rsidP="003A3BA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Enter the month end GL balance at the top of the GL section of the bank reconciliation</w:t>
      </w:r>
    </w:p>
    <w:p w:rsidR="0078749D" w:rsidRDefault="0078749D" w:rsidP="003A3BA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Make Journal entries (shown as part of the reconciliation) to record interest and bank fees (Note - on the temp restricted account, direct deposits from donors to our bank account need to also be recorded)</w:t>
      </w:r>
    </w:p>
    <w:p w:rsidR="003A3BA6" w:rsidRDefault="0078749D" w:rsidP="003A3BA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Make any journal entries to reclassify any cash postings by the cashier to where the cash belongs.</w:t>
      </w:r>
    </w:p>
    <w:p w:rsidR="0078749D" w:rsidRDefault="0078749D" w:rsidP="003A3BA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Include items from 11 and 12 above in the GL section of the reconciliation to arrive at the adjusted GL balance.</w:t>
      </w:r>
    </w:p>
    <w:p w:rsidR="00DA155F" w:rsidRDefault="00DA155F" w:rsidP="003A3BA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Include items identified in the previously described GL analysis to establish transfers in and out of the account</w:t>
      </w:r>
    </w:p>
    <w:p w:rsidR="00B04554" w:rsidRPr="003A3BA6" w:rsidRDefault="00B04554" w:rsidP="003A3BA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A transfer request should then be written and the transfer made to relieve reconciling in transit items.</w:t>
      </w:r>
    </w:p>
    <w:p w:rsidR="009F42B2" w:rsidRDefault="009F42B2" w:rsidP="009F42B2">
      <w:pPr>
        <w:pStyle w:val="ListParagraph"/>
        <w:rPr>
          <w:b/>
        </w:rPr>
      </w:pPr>
    </w:p>
    <w:p w:rsidR="005962A6" w:rsidRDefault="005962A6" w:rsidP="009F42B2">
      <w:pPr>
        <w:pStyle w:val="ListParagraph"/>
        <w:rPr>
          <w:b/>
        </w:rPr>
      </w:pPr>
    </w:p>
    <w:p w:rsidR="005962A6" w:rsidRDefault="005962A6" w:rsidP="009F42B2">
      <w:pPr>
        <w:pStyle w:val="ListParagraph"/>
        <w:rPr>
          <w:b/>
        </w:rPr>
      </w:pPr>
      <w:r w:rsidRPr="005962A6">
        <w:rPr>
          <w:b/>
          <w:highlight w:val="yellow"/>
        </w:rPr>
        <w:t>Note: During FY17 Both PNC and Fulton Bank Accounts were open for Permanent and Temp Restricted Reconciliations (Fulton 02</w:t>
      </w:r>
      <w:proofErr w:type="gramStart"/>
      <w:r w:rsidRPr="005962A6">
        <w:rPr>
          <w:b/>
          <w:highlight w:val="yellow"/>
        </w:rPr>
        <w:t>,03</w:t>
      </w:r>
      <w:proofErr w:type="gramEnd"/>
      <w:r w:rsidRPr="005962A6">
        <w:rPr>
          <w:b/>
          <w:highlight w:val="yellow"/>
        </w:rPr>
        <w:t>-11010….PNC 02-03-11014.) – Same Procedure for Both</w:t>
      </w:r>
    </w:p>
    <w:p w:rsidR="005962A6" w:rsidRDefault="005962A6" w:rsidP="009F42B2">
      <w:pPr>
        <w:pStyle w:val="ListParagraph"/>
        <w:rPr>
          <w:b/>
        </w:rPr>
      </w:pPr>
    </w:p>
    <w:p w:rsidR="005962A6" w:rsidRDefault="005962A6" w:rsidP="009F42B2">
      <w:pPr>
        <w:pStyle w:val="ListParagraph"/>
        <w:rPr>
          <w:b/>
        </w:rPr>
      </w:pPr>
    </w:p>
    <w:p w:rsidR="005962A6" w:rsidRPr="009F42B2" w:rsidRDefault="005962A6" w:rsidP="009F42B2">
      <w:pPr>
        <w:pStyle w:val="ListParagraph"/>
        <w:rPr>
          <w:b/>
        </w:rPr>
      </w:pPr>
      <w:bookmarkStart w:id="0" w:name="_GoBack"/>
      <w:bookmarkEnd w:id="0"/>
    </w:p>
    <w:sectPr w:rsidR="005962A6" w:rsidRPr="009F42B2" w:rsidSect="00346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1BCC"/>
    <w:multiLevelType w:val="hybridMultilevel"/>
    <w:tmpl w:val="0026F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42B2"/>
    <w:rsid w:val="00096A29"/>
    <w:rsid w:val="00346FB7"/>
    <w:rsid w:val="003A3BA6"/>
    <w:rsid w:val="005962A6"/>
    <w:rsid w:val="0078749D"/>
    <w:rsid w:val="009F42B2"/>
    <w:rsid w:val="00B04554"/>
    <w:rsid w:val="00DA155F"/>
    <w:rsid w:val="00E2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2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University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dhendricks</dc:creator>
  <cp:keywords/>
  <dc:description/>
  <cp:lastModifiedBy>Hendricks, David</cp:lastModifiedBy>
  <cp:revision>3</cp:revision>
  <dcterms:created xsi:type="dcterms:W3CDTF">2012-07-06T20:36:00Z</dcterms:created>
  <dcterms:modified xsi:type="dcterms:W3CDTF">2017-06-01T20:49:00Z</dcterms:modified>
</cp:coreProperties>
</file>