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5E" w:rsidRPr="00BB5241" w:rsidRDefault="003B4F5E" w:rsidP="003B4F5E">
      <w:pPr>
        <w:pStyle w:val="NoSpacing"/>
        <w:rPr>
          <w:b/>
          <w:u w:val="single"/>
        </w:rPr>
      </w:pPr>
      <w:bookmarkStart w:id="0" w:name="_GoBack"/>
      <w:bookmarkEnd w:id="0"/>
      <w:r w:rsidRPr="00BB5241">
        <w:rPr>
          <w:b/>
          <w:u w:val="single"/>
        </w:rPr>
        <w:t>Synopsis</w:t>
      </w:r>
    </w:p>
    <w:p w:rsidR="00D2621E" w:rsidRPr="003B4F5E" w:rsidRDefault="00F3652F" w:rsidP="003B4F5E">
      <w:pPr>
        <w:pStyle w:val="NoSpacing"/>
        <w:rPr>
          <w:b/>
        </w:rPr>
      </w:pPr>
      <w:r>
        <w:t xml:space="preserve">This </w:t>
      </w:r>
      <w:r w:rsidR="008C39B0">
        <w:t xml:space="preserve">standard operating procedure (SOP) </w:t>
      </w:r>
      <w:r w:rsidR="00BB5241">
        <w:t xml:space="preserve">describes </w:t>
      </w:r>
      <w:r w:rsidR="003B4F5E">
        <w:t xml:space="preserve">the steps needed </w:t>
      </w:r>
      <w:r w:rsidR="00BB5241">
        <w:t xml:space="preserve">in order </w:t>
      </w:r>
      <w:r w:rsidR="003B4F5E">
        <w:t xml:space="preserve">to </w:t>
      </w:r>
      <w:r w:rsidR="00ED5C96">
        <w:t>pay and reconcile Union Dues</w:t>
      </w:r>
      <w:r w:rsidR="003B4F5E">
        <w:t xml:space="preserve">. </w:t>
      </w:r>
    </w:p>
    <w:p w:rsidR="00F3652F" w:rsidRDefault="00F3652F"/>
    <w:p w:rsidR="00F3652F" w:rsidRDefault="003B4F5E" w:rsidP="00F3652F">
      <w:pPr>
        <w:pStyle w:val="NoSpacing"/>
      </w:pPr>
      <w:r w:rsidRPr="00BB5241">
        <w:rPr>
          <w:b/>
          <w:u w:val="single"/>
        </w:rPr>
        <w:t>Systems N</w:t>
      </w:r>
      <w:r w:rsidR="00F3652F" w:rsidRPr="00BB5241">
        <w:rPr>
          <w:b/>
          <w:u w:val="single"/>
        </w:rPr>
        <w:t>eeded</w:t>
      </w:r>
      <w:r w:rsidR="00F3652F">
        <w:t>:</w:t>
      </w:r>
    </w:p>
    <w:p w:rsidR="00D331EA" w:rsidRDefault="00D331EA" w:rsidP="00F3652F">
      <w:pPr>
        <w:pStyle w:val="NoSpacing"/>
      </w:pPr>
      <w:r>
        <w:t>Excel</w:t>
      </w:r>
    </w:p>
    <w:p w:rsidR="00D331EA" w:rsidRDefault="00D331EA" w:rsidP="00F3652F">
      <w:pPr>
        <w:pStyle w:val="NoSpacing"/>
      </w:pPr>
      <w:r>
        <w:t>Printer</w:t>
      </w:r>
    </w:p>
    <w:p w:rsidR="00F3652F" w:rsidRDefault="00096749" w:rsidP="00F3652F">
      <w:pPr>
        <w:pStyle w:val="NoSpacing"/>
      </w:pPr>
      <w:r>
        <w:t>Purchase Requisition</w:t>
      </w:r>
      <w:r w:rsidR="008A0CB5">
        <w:t xml:space="preserve"> Form</w:t>
      </w:r>
    </w:p>
    <w:p w:rsidR="00F3652F" w:rsidRDefault="00F3652F" w:rsidP="00F3652F">
      <w:pPr>
        <w:pStyle w:val="NoSpacing"/>
      </w:pPr>
    </w:p>
    <w:p w:rsidR="00F3652F" w:rsidRDefault="00F3652F" w:rsidP="00F3652F">
      <w:pPr>
        <w:pStyle w:val="NoSpacing"/>
      </w:pPr>
      <w:r w:rsidRPr="00BB5241">
        <w:rPr>
          <w:b/>
          <w:u w:val="single"/>
        </w:rPr>
        <w:t>Internal Departments Impacted</w:t>
      </w:r>
      <w:r>
        <w:t>:</w:t>
      </w:r>
    </w:p>
    <w:p w:rsidR="00F3652F" w:rsidRDefault="00F3652F" w:rsidP="00F3652F">
      <w:pPr>
        <w:pStyle w:val="NoSpacing"/>
      </w:pPr>
      <w:r>
        <w:t>Payroll</w:t>
      </w:r>
    </w:p>
    <w:p w:rsidR="003B4F5E" w:rsidRDefault="00F3652F" w:rsidP="00F3652F">
      <w:pPr>
        <w:pStyle w:val="NoSpacing"/>
      </w:pPr>
      <w:r>
        <w:t>Accounting</w:t>
      </w:r>
    </w:p>
    <w:p w:rsidR="003B4F5E" w:rsidRDefault="003B4F5E" w:rsidP="00F3652F">
      <w:pPr>
        <w:pStyle w:val="NoSpacing"/>
      </w:pPr>
      <w:r>
        <w:t>Employees</w:t>
      </w:r>
    </w:p>
    <w:p w:rsidR="003B4F5E" w:rsidRDefault="003B4F5E" w:rsidP="001F6D64">
      <w:r>
        <w:t>Human Resources (HR)</w:t>
      </w:r>
    </w:p>
    <w:p w:rsidR="00ED5C96" w:rsidRDefault="00ED5C96" w:rsidP="001F6D64"/>
    <w:p w:rsidR="001D4429" w:rsidRDefault="00ED5C96" w:rsidP="001D4429">
      <w:pPr>
        <w:pStyle w:val="ListParagraph"/>
        <w:numPr>
          <w:ilvl w:val="0"/>
          <w:numId w:val="4"/>
        </w:numPr>
      </w:pPr>
      <w:r>
        <w:t xml:space="preserve">Use </w:t>
      </w:r>
      <w:r w:rsidR="00096749">
        <w:t>Purchase Requisition forms</w:t>
      </w:r>
      <w:r>
        <w:t xml:space="preserve"> located at the desk of the Payroll Specialist, one </w:t>
      </w:r>
      <w:r w:rsidR="00096749">
        <w:t>purchase requisition form</w:t>
      </w:r>
      <w:r>
        <w:t xml:space="preserve"> for </w:t>
      </w:r>
      <w:r w:rsidR="00B1618D">
        <w:t xml:space="preserve">each </w:t>
      </w:r>
      <w:r w:rsidR="00096749">
        <w:t>AFSCME, PAL and LUCAAUP</w:t>
      </w:r>
      <w:r>
        <w:t>.</w:t>
      </w:r>
    </w:p>
    <w:p w:rsidR="006C5310" w:rsidRDefault="006C5310" w:rsidP="006C5310">
      <w:pPr>
        <w:pStyle w:val="ListParagraph"/>
        <w:numPr>
          <w:ilvl w:val="1"/>
          <w:numId w:val="4"/>
        </w:numPr>
      </w:pPr>
      <w:r>
        <w:t>AFSCME: Bi-Weekly</w:t>
      </w:r>
      <w:r w:rsidR="00B1618D">
        <w:t xml:space="preserve"> (twice a month except for 3 pay cycle months)</w:t>
      </w:r>
    </w:p>
    <w:p w:rsidR="006C5310" w:rsidRDefault="006C5310" w:rsidP="006C5310">
      <w:pPr>
        <w:pStyle w:val="ListParagraph"/>
        <w:numPr>
          <w:ilvl w:val="1"/>
          <w:numId w:val="4"/>
        </w:numPr>
      </w:pPr>
      <w:r>
        <w:t>PAL: Bi-Weekly</w:t>
      </w:r>
      <w:r w:rsidR="00B1618D">
        <w:t xml:space="preserve"> (twice a month except for 3 pay cycle months)</w:t>
      </w:r>
    </w:p>
    <w:p w:rsidR="006C5310" w:rsidRDefault="006C5310" w:rsidP="006C5310">
      <w:pPr>
        <w:pStyle w:val="ListParagraph"/>
        <w:numPr>
          <w:ilvl w:val="1"/>
          <w:numId w:val="4"/>
        </w:numPr>
      </w:pPr>
      <w:r>
        <w:t>LUCAAUP: Monthly</w:t>
      </w:r>
      <w:r w:rsidR="00B1618D">
        <w:t xml:space="preserve"> (end of each month)</w:t>
      </w:r>
    </w:p>
    <w:p w:rsidR="00ED5C96" w:rsidRDefault="001D4429" w:rsidP="001D4429">
      <w:r>
        <w:rPr>
          <w:noProof/>
        </w:rPr>
        <w:drawing>
          <wp:inline distT="0" distB="0" distL="0" distR="0" wp14:anchorId="10BB5F54" wp14:editId="0B9BD36B">
            <wp:extent cx="5943600" cy="3543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310" w:rsidRDefault="006C5310" w:rsidP="001D4429"/>
    <w:p w:rsidR="006C5310" w:rsidRDefault="006C5310" w:rsidP="006C5310">
      <w:pPr>
        <w:pStyle w:val="ListParagraph"/>
        <w:numPr>
          <w:ilvl w:val="0"/>
          <w:numId w:val="4"/>
        </w:numPr>
      </w:pPr>
      <w:r>
        <w:lastRenderedPageBreak/>
        <w:t xml:space="preserve">Access Excel, Payroll, Payroll Reports, type of pay cycle you need, year, payroll report, payroll journal. </w:t>
      </w:r>
      <w:r w:rsidR="00975FF2">
        <w:t>If a Biweekly and Monthly pay dates are on the same day then both bi-weekly and monthly payroll reports will be in the monthly report combined.</w:t>
      </w:r>
    </w:p>
    <w:p w:rsidR="006C5310" w:rsidRDefault="006C5310" w:rsidP="006C5310">
      <w:pPr>
        <w:pStyle w:val="ListParagraph"/>
        <w:ind w:left="1080"/>
      </w:pPr>
      <w:r>
        <w:rPr>
          <w:noProof/>
        </w:rPr>
        <w:drawing>
          <wp:inline distT="0" distB="0" distL="0" distR="0" wp14:anchorId="70F785FB" wp14:editId="292FEAE8">
            <wp:extent cx="346710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F2" w:rsidRDefault="00975FF2" w:rsidP="006C5310">
      <w:pPr>
        <w:pStyle w:val="ListParagraph"/>
        <w:ind w:left="1080"/>
      </w:pPr>
      <w:r>
        <w:t>or</w:t>
      </w:r>
    </w:p>
    <w:p w:rsidR="00975FF2" w:rsidRDefault="00975FF2" w:rsidP="006C5310">
      <w:pPr>
        <w:pStyle w:val="ListParagraph"/>
        <w:ind w:left="1080"/>
      </w:pPr>
      <w:r>
        <w:rPr>
          <w:noProof/>
        </w:rPr>
        <w:drawing>
          <wp:inline distT="0" distB="0" distL="0" distR="0" wp14:anchorId="781ED7FA" wp14:editId="52507DB7">
            <wp:extent cx="3486150" cy="2667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F2" w:rsidRDefault="00975FF2" w:rsidP="006C5310">
      <w:pPr>
        <w:pStyle w:val="ListParagraph"/>
        <w:ind w:left="1080"/>
      </w:pPr>
      <w:r>
        <w:t>or</w:t>
      </w:r>
    </w:p>
    <w:p w:rsidR="00975FF2" w:rsidRDefault="00975FF2" w:rsidP="006C5310">
      <w:pPr>
        <w:pStyle w:val="ListParagraph"/>
        <w:ind w:left="1080"/>
      </w:pPr>
      <w:r>
        <w:rPr>
          <w:noProof/>
        </w:rPr>
        <w:drawing>
          <wp:inline distT="0" distB="0" distL="0" distR="0" wp14:anchorId="067CC0FA" wp14:editId="61AA66FC">
            <wp:extent cx="5476875" cy="2667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310" w:rsidRDefault="006C5310" w:rsidP="006C5310">
      <w:pPr>
        <w:pStyle w:val="ListParagraph"/>
        <w:ind w:left="1080"/>
      </w:pPr>
    </w:p>
    <w:p w:rsidR="00975FF2" w:rsidRDefault="00975FF2" w:rsidP="006C5310">
      <w:pPr>
        <w:pStyle w:val="ListParagraph"/>
        <w:ind w:left="1080"/>
      </w:pPr>
    </w:p>
    <w:p w:rsidR="006C5310" w:rsidRDefault="00DB28EB" w:rsidP="006C5310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3943350" cy="2809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10" w:rsidRDefault="006C5310" w:rsidP="006C5310">
      <w:pPr>
        <w:pStyle w:val="ListParagraph"/>
        <w:ind w:left="1080"/>
      </w:pPr>
    </w:p>
    <w:p w:rsidR="006C5310" w:rsidRDefault="006C5310" w:rsidP="006C5310">
      <w:pPr>
        <w:pStyle w:val="ListParagraph"/>
        <w:ind w:left="1080"/>
      </w:pPr>
    </w:p>
    <w:p w:rsidR="00975FF2" w:rsidRDefault="00975FF2" w:rsidP="006C5310">
      <w:pPr>
        <w:pStyle w:val="ListParagraph"/>
        <w:ind w:left="1080"/>
      </w:pPr>
    </w:p>
    <w:p w:rsidR="00DB28EB" w:rsidRDefault="006C5310" w:rsidP="00DB28EB">
      <w:pPr>
        <w:pStyle w:val="ListParagraph"/>
        <w:numPr>
          <w:ilvl w:val="0"/>
          <w:numId w:val="4"/>
        </w:numPr>
      </w:pPr>
      <w:r>
        <w:t xml:space="preserve">In your report press “Ctrl F” on your key board this will bring up </w:t>
      </w:r>
      <w:r w:rsidR="00DB28EB">
        <w:t>the “Find”.</w:t>
      </w:r>
    </w:p>
    <w:p w:rsidR="006C5310" w:rsidRDefault="00DB28EB" w:rsidP="006C5310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2247900" cy="981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F2" w:rsidRDefault="00975FF2" w:rsidP="006C5310">
      <w:pPr>
        <w:pStyle w:val="ListParagraph"/>
        <w:ind w:left="1080"/>
      </w:pPr>
    </w:p>
    <w:p w:rsidR="00975FF2" w:rsidRDefault="00975FF2" w:rsidP="006C5310">
      <w:pPr>
        <w:pStyle w:val="ListParagraph"/>
        <w:ind w:left="1080"/>
      </w:pPr>
    </w:p>
    <w:p w:rsidR="00975FF2" w:rsidRDefault="00975FF2" w:rsidP="006C5310">
      <w:pPr>
        <w:pStyle w:val="ListParagraph"/>
        <w:ind w:left="1080"/>
      </w:pPr>
    </w:p>
    <w:p w:rsidR="00975FF2" w:rsidRDefault="00975FF2" w:rsidP="006C5310">
      <w:pPr>
        <w:pStyle w:val="ListParagraph"/>
        <w:ind w:left="1080"/>
      </w:pPr>
    </w:p>
    <w:p w:rsidR="00975FF2" w:rsidRDefault="00975FF2" w:rsidP="006C5310">
      <w:pPr>
        <w:pStyle w:val="ListParagraph"/>
        <w:ind w:left="1080"/>
      </w:pPr>
    </w:p>
    <w:p w:rsidR="00DB28EB" w:rsidRDefault="00DB28EB" w:rsidP="006C5310">
      <w:pPr>
        <w:pStyle w:val="ListParagraph"/>
        <w:ind w:left="1080"/>
      </w:pPr>
    </w:p>
    <w:p w:rsidR="00DB28EB" w:rsidRDefault="00DB28EB" w:rsidP="00DB28EB">
      <w:pPr>
        <w:pStyle w:val="ListParagraph"/>
        <w:numPr>
          <w:ilvl w:val="0"/>
          <w:numId w:val="4"/>
        </w:numPr>
      </w:pPr>
      <w:r>
        <w:lastRenderedPageBreak/>
        <w:t xml:space="preserve">Enter AFSCME and hit next or enter on your keyboard. </w:t>
      </w:r>
    </w:p>
    <w:p w:rsidR="00DB28EB" w:rsidRDefault="00DB28EB" w:rsidP="00DB28EB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705350" cy="1819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8E6" w:rsidRDefault="008928E6" w:rsidP="00DB28EB">
      <w:pPr>
        <w:pStyle w:val="ListParagraph"/>
        <w:ind w:left="1080"/>
      </w:pPr>
    </w:p>
    <w:p w:rsidR="008928E6" w:rsidRDefault="008928E6" w:rsidP="00DB28EB">
      <w:pPr>
        <w:pStyle w:val="ListParagraph"/>
        <w:ind w:left="1080"/>
      </w:pPr>
    </w:p>
    <w:p w:rsidR="008928E6" w:rsidRDefault="008928E6" w:rsidP="00DB28EB">
      <w:pPr>
        <w:pStyle w:val="ListParagraph"/>
        <w:ind w:left="1080"/>
      </w:pPr>
    </w:p>
    <w:p w:rsidR="008928E6" w:rsidRDefault="008928E6" w:rsidP="00DB28EB">
      <w:pPr>
        <w:pStyle w:val="ListParagraph"/>
        <w:ind w:left="1080"/>
      </w:pPr>
    </w:p>
    <w:p w:rsidR="008928E6" w:rsidRDefault="008928E6" w:rsidP="00DB28EB">
      <w:pPr>
        <w:pStyle w:val="ListParagraph"/>
        <w:ind w:left="1080"/>
      </w:pPr>
    </w:p>
    <w:p w:rsidR="001F6D64" w:rsidRDefault="00B1618D" w:rsidP="00DB28EB">
      <w:pPr>
        <w:pStyle w:val="ListParagraph"/>
        <w:numPr>
          <w:ilvl w:val="0"/>
          <w:numId w:val="4"/>
        </w:numPr>
      </w:pPr>
      <w:r>
        <w:t xml:space="preserve">Open an </w:t>
      </w:r>
      <w:r w:rsidR="00DB28EB">
        <w:t>Excel spreadsheet and enter each name and dollar amount associated with AFSCME.</w:t>
      </w:r>
      <w:r>
        <w:t xml:space="preserve"> Continue all the way through the report until the end to have your totals match the report.</w:t>
      </w:r>
    </w:p>
    <w:p w:rsidR="00DB28EB" w:rsidRDefault="00B1618D" w:rsidP="00DB28EB">
      <w:pPr>
        <w:ind w:left="1440" w:firstLine="720"/>
      </w:pPr>
      <w:r>
        <w:rPr>
          <w:noProof/>
        </w:rPr>
        <w:drawing>
          <wp:inline distT="0" distB="0" distL="0" distR="0" wp14:anchorId="31AC27AD" wp14:editId="347ADD4F">
            <wp:extent cx="1924050" cy="3314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18D" w:rsidRDefault="00B1618D" w:rsidP="00DB28EB">
      <w:pPr>
        <w:ind w:left="1440" w:firstLine="720"/>
      </w:pPr>
    </w:p>
    <w:p w:rsidR="008928E6" w:rsidRDefault="008928E6" w:rsidP="00DB28EB">
      <w:pPr>
        <w:ind w:left="1440" w:firstLine="720"/>
      </w:pPr>
    </w:p>
    <w:p w:rsidR="008928E6" w:rsidRDefault="008928E6" w:rsidP="00DB28EB">
      <w:pPr>
        <w:ind w:left="1440" w:firstLine="720"/>
      </w:pPr>
    </w:p>
    <w:p w:rsidR="00B1618D" w:rsidRDefault="00B1618D" w:rsidP="00B1618D">
      <w:pPr>
        <w:pStyle w:val="ListParagraph"/>
        <w:numPr>
          <w:ilvl w:val="0"/>
          <w:numId w:val="4"/>
        </w:numPr>
      </w:pPr>
      <w:r>
        <w:lastRenderedPageBreak/>
        <w:t>Your end total should match your Excel spreadsheet. Do this process for all the three types of Union Dues.</w:t>
      </w:r>
    </w:p>
    <w:p w:rsidR="00B1618D" w:rsidRDefault="00B1618D" w:rsidP="00B1618D">
      <w:pPr>
        <w:pStyle w:val="ListParagraph"/>
        <w:ind w:left="1080"/>
      </w:pPr>
      <w:r>
        <w:rPr>
          <w:noProof/>
        </w:rPr>
        <w:drawing>
          <wp:inline distT="0" distB="0" distL="0" distR="0">
            <wp:extent cx="4019550" cy="26955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F2" w:rsidRDefault="00975FF2" w:rsidP="00B1618D">
      <w:pPr>
        <w:pStyle w:val="ListParagraph"/>
        <w:ind w:left="1080"/>
      </w:pPr>
    </w:p>
    <w:p w:rsidR="00975FF2" w:rsidRDefault="00975FF2" w:rsidP="00B1618D">
      <w:pPr>
        <w:pStyle w:val="ListParagraph"/>
        <w:ind w:left="1080"/>
      </w:pPr>
    </w:p>
    <w:p w:rsidR="008928E6" w:rsidRDefault="008928E6" w:rsidP="00B1618D">
      <w:pPr>
        <w:pStyle w:val="ListParagraph"/>
        <w:ind w:left="1080"/>
      </w:pPr>
    </w:p>
    <w:p w:rsidR="008928E6" w:rsidRDefault="008928E6" w:rsidP="00B1618D">
      <w:pPr>
        <w:pStyle w:val="ListParagraph"/>
        <w:ind w:left="1080"/>
      </w:pPr>
    </w:p>
    <w:p w:rsidR="00975FF2" w:rsidRDefault="00975FF2" w:rsidP="00B1618D">
      <w:pPr>
        <w:pStyle w:val="ListParagraph"/>
        <w:ind w:left="1080"/>
      </w:pPr>
    </w:p>
    <w:p w:rsidR="00975FF2" w:rsidRDefault="00975FF2" w:rsidP="00975FF2">
      <w:pPr>
        <w:pStyle w:val="ListParagraph"/>
        <w:numPr>
          <w:ilvl w:val="0"/>
          <w:numId w:val="4"/>
        </w:numPr>
      </w:pPr>
      <w:r>
        <w:t>Process the Excel spreadsheet for all three types of Union Dues</w:t>
      </w:r>
    </w:p>
    <w:p w:rsidR="00975FF2" w:rsidRDefault="00F63F98" w:rsidP="00975FF2">
      <w:pPr>
        <w:rPr>
          <w:noProof/>
        </w:rPr>
      </w:pPr>
      <w:r>
        <w:rPr>
          <w:noProof/>
        </w:rPr>
        <w:drawing>
          <wp:inline distT="0" distB="0" distL="0" distR="0">
            <wp:extent cx="1466850" cy="2209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FF2" w:rsidRPr="00975FF2">
        <w:rPr>
          <w:noProof/>
        </w:rPr>
        <w:t xml:space="preserve"> </w:t>
      </w:r>
      <w:r>
        <w:rPr>
          <w:noProof/>
        </w:rPr>
        <w:t xml:space="preserve">    </w:t>
      </w:r>
      <w:r w:rsidR="00975FF2">
        <w:rPr>
          <w:noProof/>
        </w:rPr>
        <w:t xml:space="preserve">   </w:t>
      </w:r>
      <w:r w:rsidR="00975FF2">
        <w:rPr>
          <w:noProof/>
        </w:rPr>
        <w:drawing>
          <wp:inline distT="0" distB="0" distL="0" distR="0" wp14:anchorId="13EBCE5D" wp14:editId="5858707E">
            <wp:extent cx="1628775" cy="22383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975FF2">
        <w:rPr>
          <w:noProof/>
        </w:rPr>
        <w:drawing>
          <wp:inline distT="0" distB="0" distL="0" distR="0" wp14:anchorId="687B0B89" wp14:editId="53766CF9">
            <wp:extent cx="1590675" cy="22002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98" w:rsidRDefault="00F63F98" w:rsidP="00975FF2">
      <w:pPr>
        <w:rPr>
          <w:noProof/>
        </w:rPr>
      </w:pPr>
    </w:p>
    <w:p w:rsidR="00F63F98" w:rsidRDefault="00F63F98" w:rsidP="00975FF2">
      <w:pPr>
        <w:rPr>
          <w:noProof/>
        </w:rPr>
      </w:pPr>
    </w:p>
    <w:p w:rsidR="00F63F98" w:rsidRDefault="00F63F98" w:rsidP="00975FF2">
      <w:pPr>
        <w:rPr>
          <w:noProof/>
        </w:rPr>
      </w:pPr>
    </w:p>
    <w:p w:rsidR="00F63F98" w:rsidRDefault="00F63F98" w:rsidP="00975FF2">
      <w:pPr>
        <w:rPr>
          <w:noProof/>
        </w:rPr>
      </w:pPr>
    </w:p>
    <w:p w:rsidR="00F63F98" w:rsidRDefault="00F63F98" w:rsidP="00F63F9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lastRenderedPageBreak/>
        <w:t>Fill out the Purchase Requisition form for each Union due (PAL, AFSCME, LUCAAUP).</w:t>
      </w:r>
    </w:p>
    <w:p w:rsidR="00F63F98" w:rsidRDefault="00F63F98" w:rsidP="00975FF2">
      <w:pPr>
        <w:rPr>
          <w:noProof/>
        </w:rPr>
      </w:pPr>
      <w:r>
        <w:rPr>
          <w:noProof/>
        </w:rPr>
        <w:drawing>
          <wp:inline distT="0" distB="0" distL="0" distR="0" wp14:anchorId="3E625A3D" wp14:editId="75376045">
            <wp:extent cx="5943600" cy="26441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F98" w:rsidRDefault="00F63F98" w:rsidP="00975FF2">
      <w:pPr>
        <w:rPr>
          <w:noProof/>
        </w:rPr>
      </w:pPr>
    </w:p>
    <w:p w:rsidR="00F63F98" w:rsidRDefault="00F63F98" w:rsidP="00F63F9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Print out the Excel spreadsheet with all the names and dollar amounts and print out the Purchase Requisition form for each.</w:t>
      </w:r>
    </w:p>
    <w:p w:rsidR="00F63F98" w:rsidRDefault="00F63F98" w:rsidP="00F63F98">
      <w:pPr>
        <w:rPr>
          <w:noProof/>
        </w:rPr>
      </w:pPr>
    </w:p>
    <w:p w:rsidR="00F63F98" w:rsidRDefault="00F63F98" w:rsidP="00F63F9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Hand deliver each form to management to sign.</w:t>
      </w:r>
    </w:p>
    <w:p w:rsidR="00F63F98" w:rsidRDefault="00F63F98" w:rsidP="00F63F98">
      <w:pPr>
        <w:pStyle w:val="ListParagraph"/>
        <w:rPr>
          <w:noProof/>
        </w:rPr>
      </w:pPr>
    </w:p>
    <w:p w:rsidR="00F63F98" w:rsidRDefault="00F63F98" w:rsidP="00F63F9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Once you receive the form back hand deliver and put in the AP departments in-box.</w:t>
      </w:r>
    </w:p>
    <w:p w:rsidR="00F63F98" w:rsidRDefault="00F63F98" w:rsidP="00F63F98">
      <w:pPr>
        <w:pStyle w:val="ListParagraph"/>
        <w:rPr>
          <w:noProof/>
        </w:rPr>
      </w:pPr>
    </w:p>
    <w:p w:rsidR="00196F1E" w:rsidRDefault="008928E6" w:rsidP="00F63F98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Make a copy of each of the Excel spreadsheets with the names and dollar amounts and attach to the live check w</w:t>
      </w:r>
      <w:r w:rsidR="00F63F98">
        <w:rPr>
          <w:noProof/>
        </w:rPr>
        <w:t xml:space="preserve">hen you receive </w:t>
      </w:r>
      <w:r>
        <w:rPr>
          <w:noProof/>
        </w:rPr>
        <w:t xml:space="preserve">it back and use a separate envelope along with the Excel spreadsheet and </w:t>
      </w:r>
      <w:r w:rsidR="00F63F98">
        <w:rPr>
          <w:noProof/>
        </w:rPr>
        <w:t>mail</w:t>
      </w:r>
      <w:r>
        <w:rPr>
          <w:noProof/>
        </w:rPr>
        <w:t xml:space="preserve"> the live check and spreadsheet</w:t>
      </w:r>
      <w:r w:rsidR="00F63F98">
        <w:rPr>
          <w:noProof/>
        </w:rPr>
        <w:t xml:space="preserve"> to the address written on the check.</w:t>
      </w:r>
    </w:p>
    <w:sectPr w:rsidR="00196F1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CB" w:rsidRDefault="00A206CB" w:rsidP="0091644B">
      <w:pPr>
        <w:spacing w:after="0" w:line="240" w:lineRule="auto"/>
      </w:pPr>
      <w:r>
        <w:separator/>
      </w:r>
    </w:p>
  </w:endnote>
  <w:endnote w:type="continuationSeparator" w:id="0">
    <w:p w:rsidR="00A206CB" w:rsidRDefault="00A206CB" w:rsidP="0091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81" w:rsidRDefault="00905F7B">
    <w:pPr>
      <w:pStyle w:val="Footer"/>
    </w:pPr>
    <w:r>
      <w:t>Laura Price</w:t>
    </w:r>
    <w:r>
      <w:ptab w:relativeTo="margin" w:alignment="center" w:leader="none"/>
    </w:r>
    <w:r w:rsidR="00BC11CA">
      <w:tab/>
      <w:t>April 1</w:t>
    </w:r>
    <w:r>
      <w:t>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CB" w:rsidRDefault="00A206CB" w:rsidP="0091644B">
      <w:pPr>
        <w:spacing w:after="0" w:line="240" w:lineRule="auto"/>
      </w:pPr>
      <w:r>
        <w:separator/>
      </w:r>
    </w:p>
  </w:footnote>
  <w:footnote w:type="continuationSeparator" w:id="0">
    <w:p w:rsidR="00A206CB" w:rsidRDefault="00A206CB" w:rsidP="0091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FAFBD29C625490B9D322675DABDD5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05F7B" w:rsidRDefault="00ED5C9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Pay and Reconcile Union Dues</w:t>
        </w:r>
      </w:p>
    </w:sdtContent>
  </w:sdt>
  <w:p w:rsidR="00092181" w:rsidRDefault="00092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6F7"/>
    <w:multiLevelType w:val="hybridMultilevel"/>
    <w:tmpl w:val="0310FFFA"/>
    <w:lvl w:ilvl="0" w:tplc="A106F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222C1"/>
    <w:multiLevelType w:val="hybridMultilevel"/>
    <w:tmpl w:val="D0EEB32C"/>
    <w:lvl w:ilvl="0" w:tplc="BA2CD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D5A0678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0436E"/>
    <w:multiLevelType w:val="hybridMultilevel"/>
    <w:tmpl w:val="28CE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B5929"/>
    <w:multiLevelType w:val="hybridMultilevel"/>
    <w:tmpl w:val="53F2B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2F"/>
    <w:rsid w:val="000038E3"/>
    <w:rsid w:val="000213D4"/>
    <w:rsid w:val="00092181"/>
    <w:rsid w:val="00096749"/>
    <w:rsid w:val="001173C8"/>
    <w:rsid w:val="00163378"/>
    <w:rsid w:val="00181570"/>
    <w:rsid w:val="00196F1E"/>
    <w:rsid w:val="001B3766"/>
    <w:rsid w:val="001D4429"/>
    <w:rsid w:val="001F6D64"/>
    <w:rsid w:val="002038A8"/>
    <w:rsid w:val="002041A7"/>
    <w:rsid w:val="00224422"/>
    <w:rsid w:val="0026118D"/>
    <w:rsid w:val="002666AA"/>
    <w:rsid w:val="00277D58"/>
    <w:rsid w:val="002F2F41"/>
    <w:rsid w:val="002F517C"/>
    <w:rsid w:val="00305953"/>
    <w:rsid w:val="003155A5"/>
    <w:rsid w:val="00325FC7"/>
    <w:rsid w:val="00345B23"/>
    <w:rsid w:val="00382A1F"/>
    <w:rsid w:val="003B4F5E"/>
    <w:rsid w:val="003D0BF0"/>
    <w:rsid w:val="003D7548"/>
    <w:rsid w:val="004250A4"/>
    <w:rsid w:val="00452349"/>
    <w:rsid w:val="004810A9"/>
    <w:rsid w:val="004E5C39"/>
    <w:rsid w:val="00504523"/>
    <w:rsid w:val="005114E3"/>
    <w:rsid w:val="0051529F"/>
    <w:rsid w:val="00521D8D"/>
    <w:rsid w:val="00531E9B"/>
    <w:rsid w:val="0053209A"/>
    <w:rsid w:val="005834AB"/>
    <w:rsid w:val="005A5E44"/>
    <w:rsid w:val="005D4633"/>
    <w:rsid w:val="005D54C4"/>
    <w:rsid w:val="00635FFB"/>
    <w:rsid w:val="0064210A"/>
    <w:rsid w:val="006C5310"/>
    <w:rsid w:val="006E33DD"/>
    <w:rsid w:val="006F3605"/>
    <w:rsid w:val="006F4B81"/>
    <w:rsid w:val="00713DF5"/>
    <w:rsid w:val="00732E52"/>
    <w:rsid w:val="007652B5"/>
    <w:rsid w:val="007B1B49"/>
    <w:rsid w:val="007D4978"/>
    <w:rsid w:val="008228AB"/>
    <w:rsid w:val="008877A8"/>
    <w:rsid w:val="008928E6"/>
    <w:rsid w:val="008973D0"/>
    <w:rsid w:val="008A0CB5"/>
    <w:rsid w:val="008C39B0"/>
    <w:rsid w:val="00905F7B"/>
    <w:rsid w:val="0091644B"/>
    <w:rsid w:val="00931963"/>
    <w:rsid w:val="00950E0B"/>
    <w:rsid w:val="00975FF2"/>
    <w:rsid w:val="009F7E02"/>
    <w:rsid w:val="00A0610D"/>
    <w:rsid w:val="00A206CB"/>
    <w:rsid w:val="00A54B37"/>
    <w:rsid w:val="00AA3D6C"/>
    <w:rsid w:val="00B1618D"/>
    <w:rsid w:val="00BB5241"/>
    <w:rsid w:val="00BC11CA"/>
    <w:rsid w:val="00BE0AEB"/>
    <w:rsid w:val="00C16787"/>
    <w:rsid w:val="00C25C71"/>
    <w:rsid w:val="00CA6403"/>
    <w:rsid w:val="00CA6515"/>
    <w:rsid w:val="00D2621E"/>
    <w:rsid w:val="00D331EA"/>
    <w:rsid w:val="00D36AD6"/>
    <w:rsid w:val="00D50A41"/>
    <w:rsid w:val="00D5205B"/>
    <w:rsid w:val="00D6362A"/>
    <w:rsid w:val="00D9577D"/>
    <w:rsid w:val="00DA12D5"/>
    <w:rsid w:val="00DA32F5"/>
    <w:rsid w:val="00DB28EB"/>
    <w:rsid w:val="00DF45CB"/>
    <w:rsid w:val="00E56E33"/>
    <w:rsid w:val="00E61F5D"/>
    <w:rsid w:val="00E6355E"/>
    <w:rsid w:val="00ED5C96"/>
    <w:rsid w:val="00F3652F"/>
    <w:rsid w:val="00F63F98"/>
    <w:rsid w:val="00FD26A2"/>
    <w:rsid w:val="00FD4D39"/>
    <w:rsid w:val="00FE5F7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AFBD29C625490B9D322675DABD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A362-F747-4727-9A85-D679E1FC9304}"/>
      </w:docPartPr>
      <w:docPartBody>
        <w:p w:rsidR="009935E4" w:rsidRDefault="00564193" w:rsidP="00564193">
          <w:pPr>
            <w:pStyle w:val="FFAFBD29C625490B9D322675DABDD5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93"/>
    <w:rsid w:val="00261724"/>
    <w:rsid w:val="00327EAA"/>
    <w:rsid w:val="00564193"/>
    <w:rsid w:val="00801981"/>
    <w:rsid w:val="009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165D2C86545CDA51DCC5EBD539F10">
    <w:name w:val="BD3165D2C86545CDA51DCC5EBD539F10"/>
    <w:rsid w:val="00564193"/>
  </w:style>
  <w:style w:type="paragraph" w:customStyle="1" w:styleId="B99B9AEDF43342F3BDF092209D341CF9">
    <w:name w:val="B99B9AEDF43342F3BDF092209D341CF9"/>
    <w:rsid w:val="00564193"/>
  </w:style>
  <w:style w:type="paragraph" w:customStyle="1" w:styleId="1C31C97C07B0415496F62480DE56C60A">
    <w:name w:val="1C31C97C07B0415496F62480DE56C60A"/>
    <w:rsid w:val="00564193"/>
  </w:style>
  <w:style w:type="paragraph" w:customStyle="1" w:styleId="FFAFBD29C625490B9D322675DABDD548">
    <w:name w:val="FFAFBD29C625490B9D322675DABDD548"/>
    <w:rsid w:val="005641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165D2C86545CDA51DCC5EBD539F10">
    <w:name w:val="BD3165D2C86545CDA51DCC5EBD539F10"/>
    <w:rsid w:val="00564193"/>
  </w:style>
  <w:style w:type="paragraph" w:customStyle="1" w:styleId="B99B9AEDF43342F3BDF092209D341CF9">
    <w:name w:val="B99B9AEDF43342F3BDF092209D341CF9"/>
    <w:rsid w:val="00564193"/>
  </w:style>
  <w:style w:type="paragraph" w:customStyle="1" w:styleId="1C31C97C07B0415496F62480DE56C60A">
    <w:name w:val="1C31C97C07B0415496F62480DE56C60A"/>
    <w:rsid w:val="00564193"/>
  </w:style>
  <w:style w:type="paragraph" w:customStyle="1" w:styleId="FFAFBD29C625490B9D322675DABDD548">
    <w:name w:val="FFAFBD29C625490B9D322675DABDD548"/>
    <w:rsid w:val="00564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81EA-48A9-4050-99E9-216C097B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and Reconcile Union Dues</vt:lpstr>
    </vt:vector>
  </TitlesOfParts>
  <Company>Lincoln Univeristy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and Reconcile Union Dues</dc:title>
  <dc:creator>Price, Laura</dc:creator>
  <cp:lastModifiedBy>Jay S. Simmons</cp:lastModifiedBy>
  <cp:revision>2</cp:revision>
  <cp:lastPrinted>2019-02-07T21:58:00Z</cp:lastPrinted>
  <dcterms:created xsi:type="dcterms:W3CDTF">2019-04-02T12:33:00Z</dcterms:created>
  <dcterms:modified xsi:type="dcterms:W3CDTF">2019-04-02T12:33:00Z</dcterms:modified>
</cp:coreProperties>
</file>