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FF" w:rsidRPr="0058483C" w:rsidRDefault="00C12FC5" w:rsidP="0058483C">
      <w:pPr>
        <w:jc w:val="center"/>
        <w:rPr>
          <w:rFonts w:ascii="Arial" w:hAnsi="Arial" w:cs="Arial"/>
        </w:rPr>
      </w:pPr>
      <w:r>
        <w:rPr>
          <w:rFonts w:ascii="Arial" w:hAnsi="Arial" w:cs="Arial"/>
          <w:b/>
        </w:rPr>
        <w:t>NON-COST REIMBURSEMIBLE GRANTS OR ADVANCES OF CASH FROM EXTERNAL SPONSORS</w:t>
      </w:r>
    </w:p>
    <w:p w:rsidR="007B14FF" w:rsidRPr="0058483C" w:rsidRDefault="007B14FF" w:rsidP="007B14FF">
      <w:pPr>
        <w:rPr>
          <w:rFonts w:ascii="Arial" w:hAnsi="Arial" w:cs="Arial"/>
        </w:rPr>
      </w:pPr>
    </w:p>
    <w:p w:rsidR="007B14FF" w:rsidRPr="0058483C" w:rsidRDefault="007B14FF" w:rsidP="007B14FF">
      <w:pPr>
        <w:spacing w:line="240" w:lineRule="auto"/>
        <w:contextualSpacing/>
        <w:rPr>
          <w:rFonts w:ascii="Arial" w:hAnsi="Arial" w:cs="Arial"/>
        </w:rPr>
      </w:pPr>
      <w:r w:rsidRPr="0058483C">
        <w:rPr>
          <w:rFonts w:ascii="Arial" w:hAnsi="Arial" w:cs="Arial"/>
        </w:rPr>
        <w:t xml:space="preserve">Effective: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Revised: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Last Reviewed: </w:t>
      </w:r>
    </w:p>
    <w:p w:rsidR="007B14FF" w:rsidRPr="0058483C" w:rsidRDefault="007B14FF" w:rsidP="007B14FF">
      <w:pPr>
        <w:spacing w:line="240" w:lineRule="auto"/>
        <w:contextualSpacing/>
        <w:rPr>
          <w:rFonts w:ascii="Arial" w:hAnsi="Arial" w:cs="Arial"/>
        </w:rPr>
      </w:pPr>
      <w:r w:rsidRPr="0058483C">
        <w:rPr>
          <w:rFonts w:ascii="Arial" w:hAnsi="Arial" w:cs="Arial"/>
        </w:rPr>
        <w:t>Resp</w:t>
      </w:r>
      <w:r w:rsidRPr="0058483C">
        <w:rPr>
          <w:rFonts w:ascii="Arial" w:hAnsi="Arial" w:cs="Arial"/>
        </w:rPr>
        <w:t>onsible</w:t>
      </w:r>
      <w:r w:rsidRPr="0058483C">
        <w:rPr>
          <w:rFonts w:ascii="Arial" w:hAnsi="Arial" w:cs="Arial"/>
        </w:rPr>
        <w:t xml:space="preserve"> Office: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Approval: </w:t>
      </w:r>
    </w:p>
    <w:p w:rsidR="0058483C" w:rsidRPr="0058483C" w:rsidRDefault="0058483C" w:rsidP="007B14FF">
      <w:pPr>
        <w:spacing w:line="240" w:lineRule="auto"/>
        <w:rPr>
          <w:rFonts w:ascii="Arial" w:hAnsi="Arial" w:cs="Arial"/>
        </w:rPr>
      </w:pPr>
    </w:p>
    <w:p w:rsidR="007B14FF" w:rsidRPr="005400C9" w:rsidRDefault="007B14FF" w:rsidP="007B14FF">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59264" behindDoc="0" locked="0" layoutInCell="1" allowOverlap="1" wp14:anchorId="42B23135" wp14:editId="491693E6">
                <wp:simplePos x="0" y="0"/>
                <wp:positionH relativeFrom="margin">
                  <wp:align>left</wp:align>
                </wp:positionH>
                <wp:positionV relativeFrom="paragraph">
                  <wp:posOffset>173990</wp:posOffset>
                </wp:positionV>
                <wp:extent cx="63722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3722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B845F"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7pt" to="501.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" strokecolor="#5b9bd5 [3204]" strokeweight=".5pt">
                <v:stroke joinstyle="miter"/>
                <w10:wrap anchorx="margin"/>
              </v:line>
            </w:pict>
          </mc:Fallback>
        </mc:AlternateContent>
      </w:r>
      <w:r w:rsidRPr="005400C9">
        <w:rPr>
          <w:rFonts w:ascii="Arial" w:hAnsi="Arial" w:cs="Arial"/>
          <w:b/>
        </w:rPr>
        <w:t>PURPOSE</w:t>
      </w:r>
    </w:p>
    <w:p w:rsidR="00AA2FF5" w:rsidRPr="00AA2FF5" w:rsidRDefault="00AA2FF5" w:rsidP="00AA2FF5">
      <w:pPr>
        <w:rPr>
          <w:rFonts w:ascii="Arial" w:hAnsi="Arial" w:cs="Arial"/>
        </w:rPr>
      </w:pPr>
      <w:r w:rsidRPr="00AA2FF5">
        <w:rPr>
          <w:rFonts w:ascii="Arial" w:hAnsi="Arial" w:cs="Arial"/>
        </w:rPr>
        <w:t xml:space="preserve">Some federal agencies and some non-federal sponsors provide cash in advance of the work to be performed under a sponsored project. This policy establishes the appropriate accounting treatment of these cash advances. </w:t>
      </w:r>
    </w:p>
    <w:p w:rsidR="00AA2FF5" w:rsidRPr="00AA2FF5" w:rsidRDefault="00AA2FF5" w:rsidP="00AA2FF5">
      <w:pPr>
        <w:ind w:left="720"/>
        <w:rPr>
          <w:rFonts w:ascii="Arial" w:hAnsi="Arial" w:cs="Arial"/>
        </w:rPr>
      </w:pPr>
      <w:r w:rsidRPr="00AA2FF5">
        <w:rPr>
          <w:rFonts w:ascii="Arial" w:hAnsi="Arial" w:cs="Arial"/>
        </w:rPr>
        <w:t xml:space="preserve">1. OMB Uniform </w:t>
      </w:r>
      <w:r w:rsidRPr="00AA2FF5">
        <w:rPr>
          <w:rFonts w:ascii="Arial" w:hAnsi="Arial" w:cs="Arial"/>
        </w:rPr>
        <w:t>Guidance 2</w:t>
      </w:r>
      <w:r w:rsidRPr="00AA2FF5">
        <w:rPr>
          <w:rFonts w:ascii="Arial" w:hAnsi="Arial" w:cs="Arial"/>
        </w:rPr>
        <w:t xml:space="preserve"> C.F.R. Part 200.305 (a) 8-</w:t>
      </w:r>
      <w:r w:rsidRPr="00AA2FF5">
        <w:rPr>
          <w:rFonts w:ascii="Arial" w:hAnsi="Arial" w:cs="Arial"/>
        </w:rPr>
        <w:t>9 requires</w:t>
      </w:r>
      <w:r w:rsidRPr="00AA2FF5">
        <w:rPr>
          <w:rFonts w:ascii="Arial" w:hAnsi="Arial" w:cs="Arial"/>
        </w:rPr>
        <w:t xml:space="preserve"> that cash advances be deposited into an interest bearing account, and that interest</w:t>
      </w:r>
      <w:bookmarkStart w:id="0" w:name="_GoBack"/>
      <w:bookmarkEnd w:id="0"/>
      <w:r w:rsidRPr="00AA2FF5">
        <w:rPr>
          <w:rFonts w:ascii="Arial" w:hAnsi="Arial" w:cs="Arial"/>
        </w:rPr>
        <w:t xml:space="preserve"> earned on those advances be remitted annually to the Department of Health and Human Services (DHHS), Payment Management System. </w:t>
      </w:r>
    </w:p>
    <w:p w:rsidR="007B14FF" w:rsidRDefault="00AA2FF5" w:rsidP="00AA2FF5">
      <w:pPr>
        <w:ind w:left="720"/>
        <w:rPr>
          <w:rFonts w:ascii="Arial" w:hAnsi="Arial" w:cs="Arial"/>
        </w:rPr>
      </w:pPr>
      <w:r w:rsidRPr="00AA2FF5">
        <w:rPr>
          <w:rFonts w:ascii="Arial" w:hAnsi="Arial" w:cs="Arial"/>
        </w:rPr>
        <w:t>2. Non-federal sponsors that provide cash advances and require that the cash be deposited into interest bearing accounts, may require that the interest earned be returned to the sponsor, or used to further the objectives of the award, depending on the terms of the award.</w:t>
      </w:r>
    </w:p>
    <w:p w:rsidR="00AA2FF5" w:rsidRPr="00AA2FF5" w:rsidRDefault="00AA2FF5" w:rsidP="00AA2FF5">
      <w:pPr>
        <w:ind w:left="720"/>
        <w:rPr>
          <w:rFonts w:ascii="Arial" w:hAnsi="Arial" w:cs="Arial"/>
        </w:rPr>
      </w:pPr>
    </w:p>
    <w:p w:rsidR="007B14FF" w:rsidRPr="005400C9" w:rsidRDefault="007B14FF" w:rsidP="007B14FF">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1312" behindDoc="0" locked="0" layoutInCell="1" allowOverlap="1" wp14:anchorId="72EAA559" wp14:editId="2ED63ADF">
                <wp:simplePos x="0" y="0"/>
                <wp:positionH relativeFrom="margin">
                  <wp:align>right</wp:align>
                </wp:positionH>
                <wp:positionV relativeFrom="paragraph">
                  <wp:posOffset>198120</wp:posOffset>
                </wp:positionV>
                <wp:extent cx="6381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0B6C8"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1.3pt,15.6pt" to="953.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TyuAEAAMMDAAAOAAAAZHJzL2Uyb0RvYy54bWysU02PEzEMvSPxH6Lc6cxsxbIa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" strokecolor="#5b9bd5 [3204]" strokeweight=".5pt">
                <v:stroke joinstyle="miter"/>
                <w10:wrap anchorx="margin"/>
              </v:line>
            </w:pict>
          </mc:Fallback>
        </mc:AlternateContent>
      </w:r>
      <w:r w:rsidRPr="005400C9">
        <w:rPr>
          <w:rFonts w:ascii="Arial" w:hAnsi="Arial" w:cs="Arial"/>
          <w:b/>
        </w:rPr>
        <w:t>POLICY</w:t>
      </w:r>
    </w:p>
    <w:p w:rsidR="007B14FF" w:rsidRDefault="007B14FF" w:rsidP="007B14FF">
      <w:pPr>
        <w:rPr>
          <w:rFonts w:ascii="Arial" w:hAnsi="Arial" w:cs="Arial"/>
        </w:rPr>
      </w:pPr>
    </w:p>
    <w:p w:rsidR="00AA2FF5" w:rsidRPr="001A3733" w:rsidRDefault="00AA2FF5" w:rsidP="001A3733">
      <w:pPr>
        <w:pStyle w:val="ListParagraph"/>
        <w:numPr>
          <w:ilvl w:val="0"/>
          <w:numId w:val="6"/>
        </w:numPr>
        <w:rPr>
          <w:rFonts w:ascii="Arial" w:hAnsi="Arial" w:cs="Arial"/>
        </w:rPr>
      </w:pPr>
      <w:r w:rsidRPr="001A3733">
        <w:rPr>
          <w:rFonts w:ascii="Arial" w:hAnsi="Arial" w:cs="Arial"/>
        </w:rPr>
        <w:t xml:space="preserve">Sponsored projects awarded to the University as described above must be credited </w:t>
      </w:r>
      <w:r w:rsidR="001A3733" w:rsidRPr="001A3733">
        <w:rPr>
          <w:rFonts w:ascii="Arial" w:hAnsi="Arial" w:cs="Arial"/>
        </w:rPr>
        <w:t>to the</w:t>
      </w:r>
      <w:r w:rsidRPr="001A3733">
        <w:rPr>
          <w:rFonts w:ascii="Arial" w:hAnsi="Arial" w:cs="Arial"/>
        </w:rPr>
        <w:t xml:space="preserve"> </w:t>
      </w:r>
      <w:r w:rsidR="001A3733" w:rsidRPr="001A3733">
        <w:rPr>
          <w:rFonts w:ascii="Arial" w:hAnsi="Arial" w:cs="Arial"/>
        </w:rPr>
        <w:t>Deferred Revenue - Grants</w:t>
      </w:r>
      <w:r w:rsidRPr="001A3733">
        <w:rPr>
          <w:rFonts w:ascii="Arial" w:hAnsi="Arial" w:cs="Arial"/>
        </w:rPr>
        <w:t xml:space="preserve"> </w:t>
      </w:r>
      <w:r w:rsidR="001A3733" w:rsidRPr="001A3733">
        <w:rPr>
          <w:rFonts w:ascii="Arial" w:hAnsi="Arial" w:cs="Arial"/>
        </w:rPr>
        <w:t xml:space="preserve">suspense account.  This is </w:t>
      </w:r>
      <w:r w:rsidR="001A3733">
        <w:rPr>
          <w:rFonts w:ascii="Arial" w:hAnsi="Arial" w:cs="Arial"/>
        </w:rPr>
        <w:t xml:space="preserve">a temporarily restricted fund </w:t>
      </w:r>
      <w:r w:rsidR="007E0788">
        <w:rPr>
          <w:rFonts w:ascii="Arial" w:hAnsi="Arial" w:cs="Arial"/>
        </w:rPr>
        <w:t xml:space="preserve">(TRF) </w:t>
      </w:r>
      <w:r w:rsidR="001A3733">
        <w:rPr>
          <w:rFonts w:ascii="Arial" w:hAnsi="Arial" w:cs="Arial"/>
        </w:rPr>
        <w:t>which bears interest on positive cash balances.</w:t>
      </w:r>
    </w:p>
    <w:p w:rsidR="00AA2FF5" w:rsidRPr="00AA2FF5" w:rsidRDefault="00AA2FF5" w:rsidP="00AA2FF5">
      <w:pPr>
        <w:ind w:left="720"/>
        <w:rPr>
          <w:rFonts w:ascii="Arial" w:hAnsi="Arial" w:cs="Arial"/>
        </w:rPr>
      </w:pPr>
      <w:r w:rsidRPr="00AA2FF5">
        <w:rPr>
          <w:rFonts w:ascii="Arial" w:hAnsi="Arial" w:cs="Arial"/>
        </w:rPr>
        <w:t xml:space="preserve">2. </w:t>
      </w:r>
      <w:r>
        <w:rPr>
          <w:rFonts w:ascii="Arial" w:hAnsi="Arial" w:cs="Arial"/>
        </w:rPr>
        <w:t>The Office of the Controller</w:t>
      </w:r>
      <w:r w:rsidRPr="00AA2FF5">
        <w:rPr>
          <w:rFonts w:ascii="Arial" w:hAnsi="Arial" w:cs="Arial"/>
        </w:rPr>
        <w:t xml:space="preserve"> will ensure that all such Sponsored Projects will be identified and designated as funds to earn </w:t>
      </w:r>
      <w:r w:rsidR="007E0788">
        <w:rPr>
          <w:rFonts w:ascii="Arial" w:hAnsi="Arial" w:cs="Arial"/>
        </w:rPr>
        <w:t>TRF income</w:t>
      </w:r>
      <w:r w:rsidRPr="00AA2FF5">
        <w:rPr>
          <w:rFonts w:ascii="Arial" w:hAnsi="Arial" w:cs="Arial"/>
        </w:rPr>
        <w:t xml:space="preserve">. </w:t>
      </w:r>
    </w:p>
    <w:p w:rsidR="00AA2FF5" w:rsidRPr="00AA2FF5" w:rsidRDefault="00AA2FF5" w:rsidP="00AA2FF5">
      <w:pPr>
        <w:ind w:left="720"/>
        <w:rPr>
          <w:rFonts w:ascii="Arial" w:hAnsi="Arial" w:cs="Arial"/>
        </w:rPr>
      </w:pPr>
      <w:r w:rsidRPr="00AA2FF5">
        <w:rPr>
          <w:rFonts w:ascii="Arial" w:hAnsi="Arial" w:cs="Arial"/>
        </w:rPr>
        <w:lastRenderedPageBreak/>
        <w:t xml:space="preserve">3. The </w:t>
      </w:r>
      <w:r>
        <w:rPr>
          <w:rFonts w:ascii="Arial" w:hAnsi="Arial" w:cs="Arial"/>
        </w:rPr>
        <w:t>Office of the Controller</w:t>
      </w:r>
      <w:r w:rsidRPr="00AA2FF5">
        <w:rPr>
          <w:rFonts w:ascii="Arial" w:hAnsi="Arial" w:cs="Arial"/>
        </w:rPr>
        <w:t xml:space="preserve"> will post the amount of any T</w:t>
      </w:r>
      <w:r>
        <w:rPr>
          <w:rFonts w:ascii="Arial" w:hAnsi="Arial" w:cs="Arial"/>
        </w:rPr>
        <w:t>RF</w:t>
      </w:r>
      <w:r w:rsidRPr="00AA2FF5">
        <w:rPr>
          <w:rFonts w:ascii="Arial" w:hAnsi="Arial" w:cs="Arial"/>
        </w:rPr>
        <w:t xml:space="preserve"> interest earned on the funds identified on a monthly basis, calculated according to their written procedures</w:t>
      </w:r>
      <w:r>
        <w:rPr>
          <w:rFonts w:ascii="Arial" w:hAnsi="Arial" w:cs="Arial"/>
        </w:rPr>
        <w:t>.</w:t>
      </w:r>
      <w:r w:rsidRPr="00AA2FF5">
        <w:rPr>
          <w:rFonts w:ascii="Arial" w:hAnsi="Arial" w:cs="Arial"/>
        </w:rPr>
        <w:t xml:space="preserve"> </w:t>
      </w:r>
    </w:p>
    <w:p w:rsidR="00AA2FF5" w:rsidRPr="00AA2FF5" w:rsidRDefault="00AA2FF5" w:rsidP="00AA2FF5">
      <w:pPr>
        <w:ind w:left="720"/>
        <w:rPr>
          <w:rFonts w:ascii="Arial" w:hAnsi="Arial" w:cs="Arial"/>
        </w:rPr>
      </w:pPr>
      <w:r w:rsidRPr="00AA2FF5">
        <w:rPr>
          <w:rFonts w:ascii="Arial" w:hAnsi="Arial" w:cs="Arial"/>
        </w:rPr>
        <w:t xml:space="preserve">4. The amount of interest earned will be based on the monthly </w:t>
      </w:r>
      <w:r>
        <w:rPr>
          <w:rFonts w:ascii="Arial" w:hAnsi="Arial" w:cs="Arial"/>
        </w:rPr>
        <w:t>TRF</w:t>
      </w:r>
      <w:r w:rsidRPr="00AA2FF5">
        <w:rPr>
          <w:rFonts w:ascii="Arial" w:hAnsi="Arial" w:cs="Arial"/>
        </w:rPr>
        <w:t xml:space="preserve"> interest rate. </w:t>
      </w:r>
    </w:p>
    <w:p w:rsidR="00AA2FF5" w:rsidRPr="00AA2FF5" w:rsidRDefault="00AA2FF5" w:rsidP="00AA2FF5">
      <w:pPr>
        <w:ind w:left="720"/>
        <w:rPr>
          <w:rFonts w:ascii="Arial" w:hAnsi="Arial" w:cs="Arial"/>
        </w:rPr>
      </w:pPr>
      <w:r w:rsidRPr="00AA2FF5">
        <w:rPr>
          <w:rFonts w:ascii="Arial" w:hAnsi="Arial" w:cs="Arial"/>
        </w:rPr>
        <w:t xml:space="preserve">5. Interest earned on all federally supported projects will be reported to the sponsor as required at termination, and then transferred to a designated holding account </w:t>
      </w:r>
    </w:p>
    <w:p w:rsidR="00AA2FF5" w:rsidRPr="00AA2FF5" w:rsidRDefault="0021099F" w:rsidP="0021099F">
      <w:pPr>
        <w:ind w:left="1440"/>
        <w:rPr>
          <w:rFonts w:ascii="Arial" w:hAnsi="Arial" w:cs="Arial"/>
        </w:rPr>
      </w:pPr>
      <w:r>
        <w:rPr>
          <w:rFonts w:ascii="Arial" w:hAnsi="Arial" w:cs="Arial"/>
        </w:rPr>
        <w:t xml:space="preserve">a. </w:t>
      </w:r>
      <w:r w:rsidR="00AA2FF5" w:rsidRPr="00AA2FF5">
        <w:rPr>
          <w:rFonts w:ascii="Arial" w:hAnsi="Arial" w:cs="Arial"/>
        </w:rPr>
        <w:t xml:space="preserve">Within 90 days of the close of each fiscal year (close of ADJ period), the total amount of interest income earned on federal funds within the fiscal year will be remitted to DHHS, less the administrative allowance allowed. </w:t>
      </w:r>
    </w:p>
    <w:p w:rsidR="00AA2FF5" w:rsidRPr="00AA2FF5" w:rsidRDefault="0021099F" w:rsidP="002B0929">
      <w:pPr>
        <w:ind w:left="720"/>
        <w:rPr>
          <w:rFonts w:ascii="Arial" w:hAnsi="Arial" w:cs="Arial"/>
        </w:rPr>
      </w:pPr>
      <w:r>
        <w:rPr>
          <w:rFonts w:ascii="Arial" w:hAnsi="Arial" w:cs="Arial"/>
        </w:rPr>
        <w:t>6</w:t>
      </w:r>
      <w:r w:rsidR="00AA2FF5" w:rsidRPr="00AA2FF5">
        <w:rPr>
          <w:rFonts w:ascii="Arial" w:hAnsi="Arial" w:cs="Arial"/>
        </w:rPr>
        <w:t>. Interest earned on non-federal awards will be accounted for in accordance with the terms of the specific award</w:t>
      </w:r>
      <w:r w:rsidR="00AA2FF5">
        <w:rPr>
          <w:rFonts w:ascii="Arial" w:hAnsi="Arial" w:cs="Arial"/>
        </w:rPr>
        <w:t xml:space="preserve"> agreement</w:t>
      </w:r>
      <w:r w:rsidR="00AA2FF5" w:rsidRPr="00AA2FF5">
        <w:rPr>
          <w:rFonts w:ascii="Arial" w:hAnsi="Arial" w:cs="Arial"/>
        </w:rPr>
        <w:t xml:space="preserve">. </w:t>
      </w:r>
    </w:p>
    <w:p w:rsidR="00A520FD" w:rsidRPr="005400C9" w:rsidRDefault="00A520FD" w:rsidP="00A520FD">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3360" behindDoc="0" locked="0" layoutInCell="1" allowOverlap="1" wp14:anchorId="0FC9B201" wp14:editId="47BE8676">
                <wp:simplePos x="0" y="0"/>
                <wp:positionH relativeFrom="margin">
                  <wp:align>right</wp:align>
                </wp:positionH>
                <wp:positionV relativeFrom="paragraph">
                  <wp:posOffset>188595</wp:posOffset>
                </wp:positionV>
                <wp:extent cx="6372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72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95AA7" id="Straight Connector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14.85pt" to="95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" strokecolor="#5b9bd5 [3204]" strokeweight=".5pt">
                <v:stroke joinstyle="miter"/>
                <w10:wrap anchorx="margin"/>
              </v:line>
            </w:pict>
          </mc:Fallback>
        </mc:AlternateContent>
      </w:r>
      <w:r>
        <w:rPr>
          <w:rFonts w:ascii="Arial" w:hAnsi="Arial" w:cs="Arial"/>
          <w:b/>
          <w:noProof/>
        </w:rPr>
        <w:t>RELATED INFORMATION</w:t>
      </w:r>
    </w:p>
    <w:p w:rsidR="00A520FD" w:rsidRDefault="00A520FD" w:rsidP="00A520FD">
      <w:pPr>
        <w:pStyle w:val="ListParagraph"/>
        <w:numPr>
          <w:ilvl w:val="0"/>
          <w:numId w:val="2"/>
        </w:numPr>
        <w:rPr>
          <w:rFonts w:ascii="Arial" w:hAnsi="Arial" w:cs="Arial"/>
        </w:rPr>
      </w:pPr>
      <w:r>
        <w:rPr>
          <w:rFonts w:ascii="Arial" w:hAnsi="Arial" w:cs="Arial"/>
        </w:rPr>
        <w:t>DETERMINATION OF GRANT FUNDS VS. GIFTS</w:t>
      </w:r>
    </w:p>
    <w:p w:rsidR="00A520FD" w:rsidRDefault="00A520FD" w:rsidP="00A520FD">
      <w:pPr>
        <w:pStyle w:val="ListParagraph"/>
        <w:numPr>
          <w:ilvl w:val="0"/>
          <w:numId w:val="2"/>
        </w:numPr>
        <w:rPr>
          <w:rFonts w:ascii="Arial" w:hAnsi="Arial" w:cs="Arial"/>
        </w:rPr>
      </w:pPr>
      <w:r>
        <w:rPr>
          <w:rFonts w:ascii="Arial" w:hAnsi="Arial" w:cs="Arial"/>
        </w:rPr>
        <w:t>GIFT POLICY</w:t>
      </w:r>
    </w:p>
    <w:p w:rsidR="00A520FD" w:rsidRDefault="00A520FD" w:rsidP="00A520FD">
      <w:pPr>
        <w:rPr>
          <w:rFonts w:ascii="Arial" w:hAnsi="Arial" w:cs="Arial"/>
        </w:rPr>
      </w:pPr>
    </w:p>
    <w:p w:rsidR="00A520FD" w:rsidRPr="005400C9" w:rsidRDefault="00A520FD" w:rsidP="00A520FD">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5408" behindDoc="0" locked="0" layoutInCell="1" allowOverlap="1" wp14:anchorId="1B976FE2" wp14:editId="1BAC0420">
                <wp:simplePos x="0" y="0"/>
                <wp:positionH relativeFrom="margin">
                  <wp:align>right</wp:align>
                </wp:positionH>
                <wp:positionV relativeFrom="paragraph">
                  <wp:posOffset>188595</wp:posOffset>
                </wp:positionV>
                <wp:extent cx="63722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372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12513" id="Straight Connector 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14.85pt" to="95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" strokecolor="#5b9bd5 [3204]" strokeweight=".5pt">
                <v:stroke joinstyle="miter"/>
                <w10:wrap anchorx="margin"/>
              </v:line>
            </w:pict>
          </mc:Fallback>
        </mc:AlternateContent>
      </w:r>
      <w:r>
        <w:rPr>
          <w:rFonts w:ascii="Arial" w:hAnsi="Arial" w:cs="Arial"/>
          <w:b/>
          <w:noProof/>
        </w:rPr>
        <w:t>ROLES AND RESPONSIBILITES</w:t>
      </w:r>
    </w:p>
    <w:p w:rsidR="00A520FD" w:rsidRDefault="00A520FD" w:rsidP="00A520FD">
      <w:pPr>
        <w:rPr>
          <w:rFonts w:ascii="Arial" w:hAnsi="Arial" w:cs="Arial"/>
        </w:rPr>
      </w:pPr>
    </w:p>
    <w:tbl>
      <w:tblPr>
        <w:tblStyle w:val="TableGrid"/>
        <w:tblW w:w="0" w:type="auto"/>
        <w:tblLook w:val="04A0" w:firstRow="1" w:lastRow="0" w:firstColumn="1" w:lastColumn="0" w:noHBand="0" w:noVBand="1"/>
      </w:tblPr>
      <w:tblGrid>
        <w:gridCol w:w="10070"/>
      </w:tblGrid>
      <w:tr w:rsidR="00A520FD" w:rsidTr="00A520FD">
        <w:tc>
          <w:tcPr>
            <w:tcW w:w="10070" w:type="dxa"/>
          </w:tcPr>
          <w:p w:rsidR="00A520FD" w:rsidRDefault="00A520FD" w:rsidP="00A520FD">
            <w:pPr>
              <w:rPr>
                <w:rFonts w:ascii="Arial" w:hAnsi="Arial" w:cs="Arial"/>
              </w:rPr>
            </w:pPr>
            <w:r>
              <w:rPr>
                <w:rFonts w:ascii="Arial" w:hAnsi="Arial" w:cs="Arial"/>
              </w:rPr>
              <w:t>PRINCIPAL INVESTIGATOR</w:t>
            </w:r>
          </w:p>
          <w:p w:rsidR="002B0929" w:rsidRDefault="002B0929" w:rsidP="002B0929">
            <w:pPr>
              <w:pStyle w:val="ListParagraph"/>
              <w:numPr>
                <w:ilvl w:val="0"/>
                <w:numId w:val="3"/>
              </w:numPr>
              <w:rPr>
                <w:rFonts w:ascii="Arial" w:hAnsi="Arial" w:cs="Arial"/>
              </w:rPr>
            </w:pPr>
            <w:r w:rsidRPr="002B0929">
              <w:rPr>
                <w:rFonts w:ascii="Arial" w:hAnsi="Arial" w:cs="Arial"/>
              </w:rPr>
              <w:t xml:space="preserve">Reviews awards with </w:t>
            </w:r>
            <w:r w:rsidR="009F500D">
              <w:rPr>
                <w:rFonts w:ascii="Arial" w:hAnsi="Arial" w:cs="Arial"/>
              </w:rPr>
              <w:t xml:space="preserve">the </w:t>
            </w:r>
            <w:r w:rsidR="001A3733">
              <w:rPr>
                <w:rFonts w:ascii="Arial" w:hAnsi="Arial" w:cs="Arial"/>
              </w:rPr>
              <w:t>Grants Accountant</w:t>
            </w:r>
            <w:r w:rsidR="00941651">
              <w:rPr>
                <w:rFonts w:ascii="Arial" w:hAnsi="Arial" w:cs="Arial"/>
              </w:rPr>
              <w:t>, the Office of Sponsored Programs, Title III Administration, and Institutional Advancement</w:t>
            </w:r>
            <w:r w:rsidRPr="002B0929">
              <w:rPr>
                <w:rFonts w:ascii="Arial" w:hAnsi="Arial" w:cs="Arial"/>
              </w:rPr>
              <w:t xml:space="preserve"> to understand which accounts are advance payment an</w:t>
            </w:r>
            <w:r w:rsidR="001A3733">
              <w:rPr>
                <w:rFonts w:ascii="Arial" w:hAnsi="Arial" w:cs="Arial"/>
              </w:rPr>
              <w:t>d require interest to be earned.</w:t>
            </w:r>
          </w:p>
          <w:p w:rsidR="00A520FD" w:rsidRPr="00A520FD" w:rsidRDefault="002B0929" w:rsidP="001A3733">
            <w:pPr>
              <w:pStyle w:val="ListParagraph"/>
              <w:numPr>
                <w:ilvl w:val="0"/>
                <w:numId w:val="3"/>
              </w:numPr>
              <w:rPr>
                <w:rFonts w:ascii="Arial" w:hAnsi="Arial" w:cs="Arial"/>
              </w:rPr>
            </w:pPr>
            <w:r w:rsidRPr="002B0929">
              <w:rPr>
                <w:rFonts w:ascii="Arial" w:hAnsi="Arial" w:cs="Arial"/>
              </w:rPr>
              <w:t xml:space="preserve">Reviews awards at final close with </w:t>
            </w:r>
            <w:r w:rsidR="001A3733">
              <w:rPr>
                <w:rFonts w:ascii="Arial" w:hAnsi="Arial" w:cs="Arial"/>
              </w:rPr>
              <w:t>Grants Accountant</w:t>
            </w:r>
            <w:r w:rsidRPr="002B0929">
              <w:rPr>
                <w:rFonts w:ascii="Arial" w:hAnsi="Arial" w:cs="Arial"/>
              </w:rPr>
              <w:t xml:space="preserve"> to determine any remaining balances as to whether it should be retained or remitted</w:t>
            </w:r>
            <w:r w:rsidR="001A3733">
              <w:rPr>
                <w:rFonts w:ascii="Arial" w:hAnsi="Arial" w:cs="Arial"/>
              </w:rPr>
              <w:t>.</w:t>
            </w:r>
          </w:p>
        </w:tc>
      </w:tr>
      <w:tr w:rsidR="00A520FD" w:rsidTr="00A520FD">
        <w:tc>
          <w:tcPr>
            <w:tcW w:w="10070" w:type="dxa"/>
          </w:tcPr>
          <w:p w:rsidR="00A520FD" w:rsidRDefault="00A520FD" w:rsidP="00A520FD">
            <w:pPr>
              <w:rPr>
                <w:rFonts w:ascii="Arial" w:hAnsi="Arial" w:cs="Arial"/>
              </w:rPr>
            </w:pPr>
            <w:r>
              <w:rPr>
                <w:rFonts w:ascii="Arial" w:hAnsi="Arial" w:cs="Arial"/>
              </w:rPr>
              <w:t>GRANTS ACCOUNTANT</w:t>
            </w:r>
          </w:p>
          <w:p w:rsidR="001A3733" w:rsidRDefault="001A3733" w:rsidP="001A3733">
            <w:pPr>
              <w:pStyle w:val="ListParagraph"/>
              <w:numPr>
                <w:ilvl w:val="0"/>
                <w:numId w:val="5"/>
              </w:numPr>
              <w:rPr>
                <w:rFonts w:ascii="Arial" w:hAnsi="Arial" w:cs="Arial"/>
              </w:rPr>
            </w:pPr>
            <w:r w:rsidRPr="001A3733">
              <w:rPr>
                <w:rFonts w:ascii="Arial" w:hAnsi="Arial" w:cs="Arial"/>
              </w:rPr>
              <w:t>Reviews awar</w:t>
            </w:r>
            <w:r w:rsidR="007E0788">
              <w:rPr>
                <w:rFonts w:ascii="Arial" w:hAnsi="Arial" w:cs="Arial"/>
              </w:rPr>
              <w:t xml:space="preserve">ds with Principal Investigators, Office of Sponsored Programs, Title III Administration, and Institutional Advancement </w:t>
            </w:r>
            <w:r w:rsidRPr="001A3733">
              <w:rPr>
                <w:rFonts w:ascii="Arial" w:hAnsi="Arial" w:cs="Arial"/>
              </w:rPr>
              <w:t xml:space="preserve">to determine which accounts are advance payment and </w:t>
            </w:r>
            <w:r>
              <w:rPr>
                <w:rFonts w:ascii="Arial" w:hAnsi="Arial" w:cs="Arial"/>
              </w:rPr>
              <w:t>require interest to be earned</w:t>
            </w:r>
            <w:r w:rsidR="00711E20">
              <w:rPr>
                <w:rFonts w:ascii="Arial" w:hAnsi="Arial" w:cs="Arial"/>
              </w:rPr>
              <w:t>.</w:t>
            </w:r>
          </w:p>
          <w:p w:rsidR="001A3733" w:rsidRDefault="001A3733" w:rsidP="001A3733">
            <w:pPr>
              <w:pStyle w:val="ListParagraph"/>
              <w:numPr>
                <w:ilvl w:val="0"/>
                <w:numId w:val="5"/>
              </w:numPr>
              <w:rPr>
                <w:rFonts w:ascii="Arial" w:hAnsi="Arial" w:cs="Arial"/>
              </w:rPr>
            </w:pPr>
            <w:r w:rsidRPr="001A3733">
              <w:rPr>
                <w:rFonts w:ascii="Arial" w:hAnsi="Arial" w:cs="Arial"/>
              </w:rPr>
              <w:t>Reviews awards to determine how much money has been received and how m</w:t>
            </w:r>
            <w:r>
              <w:rPr>
                <w:rFonts w:ascii="Arial" w:hAnsi="Arial" w:cs="Arial"/>
              </w:rPr>
              <w:t>uch interest has been earned.</w:t>
            </w:r>
          </w:p>
          <w:p w:rsidR="00711E20" w:rsidRDefault="00711E20" w:rsidP="001A3733">
            <w:pPr>
              <w:pStyle w:val="ListParagraph"/>
              <w:numPr>
                <w:ilvl w:val="0"/>
                <w:numId w:val="5"/>
              </w:numPr>
              <w:rPr>
                <w:rFonts w:ascii="Arial" w:hAnsi="Arial" w:cs="Arial"/>
              </w:rPr>
            </w:pPr>
            <w:r w:rsidRPr="00FF58DF">
              <w:rPr>
                <w:rFonts w:ascii="Arial" w:hAnsi="Arial" w:cs="Arial"/>
              </w:rPr>
              <w:t>Reports the amounts of cash earned and interest earned on reports</w:t>
            </w:r>
            <w:r>
              <w:rPr>
                <w:rFonts w:ascii="Arial" w:hAnsi="Arial" w:cs="Arial"/>
              </w:rPr>
              <w:t>,</w:t>
            </w:r>
            <w:r w:rsidRPr="00FF58DF">
              <w:rPr>
                <w:rFonts w:ascii="Arial" w:hAnsi="Arial" w:cs="Arial"/>
              </w:rPr>
              <w:t xml:space="preserve"> as required</w:t>
            </w:r>
            <w:r>
              <w:rPr>
                <w:rFonts w:ascii="Arial" w:hAnsi="Arial" w:cs="Arial"/>
              </w:rPr>
              <w:t>.</w:t>
            </w:r>
          </w:p>
          <w:p w:rsidR="00A520FD" w:rsidRDefault="001A3733" w:rsidP="001A3733">
            <w:pPr>
              <w:pStyle w:val="ListParagraph"/>
              <w:numPr>
                <w:ilvl w:val="0"/>
                <w:numId w:val="5"/>
              </w:numPr>
              <w:rPr>
                <w:rFonts w:ascii="Arial" w:hAnsi="Arial" w:cs="Arial"/>
              </w:rPr>
            </w:pPr>
            <w:r w:rsidRPr="001A3733">
              <w:rPr>
                <w:rFonts w:ascii="Arial" w:hAnsi="Arial" w:cs="Arial"/>
              </w:rPr>
              <w:t xml:space="preserve">Reviews awards at final close with principal investigators to determine any remaining balances as to whether it should be retained or remitted, communicates determination to Research Services. </w:t>
            </w:r>
          </w:p>
          <w:p w:rsidR="001A3733" w:rsidRPr="001A3733" w:rsidRDefault="001A3733" w:rsidP="001A3733">
            <w:pPr>
              <w:pStyle w:val="ListParagraph"/>
              <w:numPr>
                <w:ilvl w:val="0"/>
                <w:numId w:val="5"/>
              </w:numPr>
              <w:rPr>
                <w:rFonts w:ascii="Arial" w:hAnsi="Arial" w:cs="Arial"/>
              </w:rPr>
            </w:pPr>
            <w:r>
              <w:rPr>
                <w:rFonts w:ascii="Arial" w:hAnsi="Arial" w:cs="Arial"/>
              </w:rPr>
              <w:t xml:space="preserve">Processes journal entries </w:t>
            </w:r>
            <w:r w:rsidRPr="00FF58DF">
              <w:rPr>
                <w:rFonts w:ascii="Arial" w:hAnsi="Arial" w:cs="Arial"/>
              </w:rPr>
              <w:t xml:space="preserve">to retain or remit interest earned during the funding period </w:t>
            </w:r>
            <w:r>
              <w:rPr>
                <w:rFonts w:ascii="Arial" w:hAnsi="Arial" w:cs="Arial"/>
              </w:rPr>
              <w:t xml:space="preserve">as </w:t>
            </w:r>
            <w:r w:rsidRPr="00FF58DF">
              <w:rPr>
                <w:rFonts w:ascii="Arial" w:hAnsi="Arial" w:cs="Arial"/>
              </w:rPr>
              <w:t>per the terms of the award</w:t>
            </w:r>
            <w:r>
              <w:rPr>
                <w:rFonts w:ascii="Arial" w:hAnsi="Arial" w:cs="Arial"/>
              </w:rPr>
              <w:t>.</w:t>
            </w:r>
          </w:p>
        </w:tc>
      </w:tr>
      <w:tr w:rsidR="00A520FD" w:rsidTr="00A520FD">
        <w:tc>
          <w:tcPr>
            <w:tcW w:w="10070" w:type="dxa"/>
          </w:tcPr>
          <w:p w:rsidR="00A520FD" w:rsidRDefault="00A520FD" w:rsidP="00A520FD">
            <w:pPr>
              <w:rPr>
                <w:rFonts w:ascii="Arial" w:hAnsi="Arial" w:cs="Arial"/>
              </w:rPr>
            </w:pPr>
            <w:r>
              <w:rPr>
                <w:rFonts w:ascii="Arial" w:hAnsi="Arial" w:cs="Arial"/>
              </w:rPr>
              <w:t>OFFICE OF SPONSORED PROGRAMS</w:t>
            </w:r>
          </w:p>
          <w:p w:rsidR="007E0788" w:rsidRDefault="007E0788" w:rsidP="00A520FD">
            <w:pPr>
              <w:pStyle w:val="ListParagraph"/>
              <w:numPr>
                <w:ilvl w:val="0"/>
                <w:numId w:val="3"/>
              </w:numPr>
              <w:rPr>
                <w:rFonts w:ascii="Arial" w:hAnsi="Arial" w:cs="Arial"/>
              </w:rPr>
            </w:pPr>
            <w:r>
              <w:rPr>
                <w:rFonts w:ascii="Arial" w:hAnsi="Arial" w:cs="Arial"/>
              </w:rPr>
              <w:t>Identifies awards as advance payment and reviews award documents with Grants Accountant and Principle Investigator</w:t>
            </w:r>
            <w:r w:rsidR="008F2168">
              <w:rPr>
                <w:rFonts w:ascii="Arial" w:hAnsi="Arial" w:cs="Arial"/>
              </w:rPr>
              <w:t>(</w:t>
            </w:r>
            <w:r>
              <w:rPr>
                <w:rFonts w:ascii="Arial" w:hAnsi="Arial" w:cs="Arial"/>
              </w:rPr>
              <w:t>s</w:t>
            </w:r>
            <w:r w:rsidR="008F2168">
              <w:rPr>
                <w:rFonts w:ascii="Arial" w:hAnsi="Arial" w:cs="Arial"/>
              </w:rPr>
              <w:t>)</w:t>
            </w:r>
            <w:r>
              <w:rPr>
                <w:rFonts w:ascii="Arial" w:hAnsi="Arial" w:cs="Arial"/>
              </w:rPr>
              <w:t xml:space="preserve">, </w:t>
            </w:r>
            <w:r w:rsidR="00711E20">
              <w:rPr>
                <w:rFonts w:ascii="Arial" w:hAnsi="Arial" w:cs="Arial"/>
              </w:rPr>
              <w:t>communicate with Grants Accountant if those awards should be earning interest.</w:t>
            </w:r>
          </w:p>
          <w:p w:rsidR="00711E20" w:rsidRDefault="00711E20" w:rsidP="00A520FD">
            <w:pPr>
              <w:pStyle w:val="ListParagraph"/>
              <w:numPr>
                <w:ilvl w:val="0"/>
                <w:numId w:val="3"/>
              </w:numPr>
              <w:rPr>
                <w:rFonts w:ascii="Arial" w:hAnsi="Arial" w:cs="Arial"/>
              </w:rPr>
            </w:pPr>
            <w:r w:rsidRPr="00FF58DF">
              <w:rPr>
                <w:rFonts w:ascii="Arial" w:hAnsi="Arial" w:cs="Arial"/>
              </w:rPr>
              <w:t xml:space="preserve">Coordinates with </w:t>
            </w:r>
            <w:r>
              <w:rPr>
                <w:rFonts w:ascii="Arial" w:hAnsi="Arial" w:cs="Arial"/>
              </w:rPr>
              <w:t>Grants Accountant</w:t>
            </w:r>
            <w:r w:rsidRPr="00FF58DF">
              <w:rPr>
                <w:rFonts w:ascii="Arial" w:hAnsi="Arial" w:cs="Arial"/>
              </w:rPr>
              <w:t xml:space="preserve"> for closeout and identifying amounts that need to be retained or remitted.</w:t>
            </w:r>
          </w:p>
          <w:p w:rsidR="00A520FD" w:rsidRPr="00711E20" w:rsidRDefault="00711E20" w:rsidP="00711E20">
            <w:pPr>
              <w:pStyle w:val="ListParagraph"/>
              <w:numPr>
                <w:ilvl w:val="0"/>
                <w:numId w:val="3"/>
              </w:numPr>
              <w:rPr>
                <w:rFonts w:ascii="Arial" w:hAnsi="Arial" w:cs="Arial"/>
              </w:rPr>
            </w:pPr>
            <w:r w:rsidRPr="00FF58DF">
              <w:rPr>
                <w:rFonts w:ascii="Arial" w:hAnsi="Arial" w:cs="Arial"/>
              </w:rPr>
              <w:t>Reports the amounts of cash earned and interest earned on reports</w:t>
            </w:r>
            <w:r>
              <w:rPr>
                <w:rFonts w:ascii="Arial" w:hAnsi="Arial" w:cs="Arial"/>
              </w:rPr>
              <w:t>,</w:t>
            </w:r>
            <w:r w:rsidRPr="00FF58DF">
              <w:rPr>
                <w:rFonts w:ascii="Arial" w:hAnsi="Arial" w:cs="Arial"/>
              </w:rPr>
              <w:t xml:space="preserve"> as required</w:t>
            </w:r>
            <w:r>
              <w:rPr>
                <w:rFonts w:ascii="Arial" w:hAnsi="Arial" w:cs="Arial"/>
              </w:rPr>
              <w:t>.</w:t>
            </w:r>
          </w:p>
        </w:tc>
      </w:tr>
    </w:tbl>
    <w:p w:rsidR="00711E20" w:rsidRDefault="00711E20">
      <w:r>
        <w:br w:type="page"/>
      </w:r>
    </w:p>
    <w:tbl>
      <w:tblPr>
        <w:tblStyle w:val="TableGrid"/>
        <w:tblW w:w="0" w:type="auto"/>
        <w:tblLook w:val="04A0" w:firstRow="1" w:lastRow="0" w:firstColumn="1" w:lastColumn="0" w:noHBand="0" w:noVBand="1"/>
      </w:tblPr>
      <w:tblGrid>
        <w:gridCol w:w="10070"/>
      </w:tblGrid>
      <w:tr w:rsidR="00A520FD" w:rsidTr="00A520FD">
        <w:tc>
          <w:tcPr>
            <w:tcW w:w="10070" w:type="dxa"/>
          </w:tcPr>
          <w:p w:rsidR="00A520FD" w:rsidRDefault="00D1083F" w:rsidP="00A520FD">
            <w:pPr>
              <w:rPr>
                <w:rFonts w:ascii="Arial" w:hAnsi="Arial" w:cs="Arial"/>
              </w:rPr>
            </w:pPr>
            <w:r>
              <w:rPr>
                <w:rFonts w:ascii="Arial" w:hAnsi="Arial" w:cs="Arial"/>
              </w:rPr>
              <w:t>TITLE III ADMINISTRATION</w:t>
            </w:r>
          </w:p>
          <w:p w:rsidR="00711E20" w:rsidRDefault="00711E20" w:rsidP="00711E20">
            <w:pPr>
              <w:pStyle w:val="ListParagraph"/>
              <w:numPr>
                <w:ilvl w:val="0"/>
                <w:numId w:val="4"/>
              </w:numPr>
              <w:rPr>
                <w:rFonts w:ascii="Arial" w:hAnsi="Arial" w:cs="Arial"/>
              </w:rPr>
            </w:pPr>
            <w:r>
              <w:rPr>
                <w:rFonts w:ascii="Arial" w:hAnsi="Arial" w:cs="Arial"/>
              </w:rPr>
              <w:t>Identifies awards as advance payment and reviews award documents with Grants Accountant and Principle Investigator</w:t>
            </w:r>
            <w:r w:rsidR="008F2168">
              <w:rPr>
                <w:rFonts w:ascii="Arial" w:hAnsi="Arial" w:cs="Arial"/>
              </w:rPr>
              <w:t>(</w:t>
            </w:r>
            <w:r>
              <w:rPr>
                <w:rFonts w:ascii="Arial" w:hAnsi="Arial" w:cs="Arial"/>
              </w:rPr>
              <w:t>s</w:t>
            </w:r>
            <w:r w:rsidR="008F2168">
              <w:rPr>
                <w:rFonts w:ascii="Arial" w:hAnsi="Arial" w:cs="Arial"/>
              </w:rPr>
              <w:t>)</w:t>
            </w:r>
            <w:r>
              <w:rPr>
                <w:rFonts w:ascii="Arial" w:hAnsi="Arial" w:cs="Arial"/>
              </w:rPr>
              <w:t>, communicate with Grants Accountant if those awards should be earning interest.</w:t>
            </w:r>
          </w:p>
          <w:p w:rsidR="00711E20" w:rsidRDefault="00711E20" w:rsidP="00711E20">
            <w:pPr>
              <w:pStyle w:val="ListParagraph"/>
              <w:numPr>
                <w:ilvl w:val="0"/>
                <w:numId w:val="4"/>
              </w:numPr>
              <w:rPr>
                <w:rFonts w:ascii="Arial" w:hAnsi="Arial" w:cs="Arial"/>
              </w:rPr>
            </w:pPr>
            <w:r w:rsidRPr="00FF58DF">
              <w:rPr>
                <w:rFonts w:ascii="Arial" w:hAnsi="Arial" w:cs="Arial"/>
              </w:rPr>
              <w:t xml:space="preserve">Coordinates with </w:t>
            </w:r>
            <w:r>
              <w:rPr>
                <w:rFonts w:ascii="Arial" w:hAnsi="Arial" w:cs="Arial"/>
              </w:rPr>
              <w:t>Grants Accountant</w:t>
            </w:r>
            <w:r w:rsidRPr="00FF58DF">
              <w:rPr>
                <w:rFonts w:ascii="Arial" w:hAnsi="Arial" w:cs="Arial"/>
              </w:rPr>
              <w:t xml:space="preserve"> for closeout and identifying amounts that need to be retained or remitted.</w:t>
            </w:r>
          </w:p>
          <w:p w:rsidR="00D1083F" w:rsidRPr="00D1083F" w:rsidRDefault="00711E20" w:rsidP="00711E20">
            <w:pPr>
              <w:pStyle w:val="ListParagraph"/>
              <w:numPr>
                <w:ilvl w:val="0"/>
                <w:numId w:val="4"/>
              </w:numPr>
              <w:rPr>
                <w:rFonts w:ascii="Arial" w:hAnsi="Arial" w:cs="Arial"/>
              </w:rPr>
            </w:pPr>
            <w:r w:rsidRPr="00FF58DF">
              <w:rPr>
                <w:rFonts w:ascii="Arial" w:hAnsi="Arial" w:cs="Arial"/>
              </w:rPr>
              <w:t>Reports the amounts of cash earned and interest earned on reports</w:t>
            </w:r>
            <w:r>
              <w:rPr>
                <w:rFonts w:ascii="Arial" w:hAnsi="Arial" w:cs="Arial"/>
              </w:rPr>
              <w:t>,</w:t>
            </w:r>
            <w:r w:rsidRPr="00FF58DF">
              <w:rPr>
                <w:rFonts w:ascii="Arial" w:hAnsi="Arial" w:cs="Arial"/>
              </w:rPr>
              <w:t xml:space="preserve"> as required</w:t>
            </w:r>
            <w:r>
              <w:rPr>
                <w:rFonts w:ascii="Arial" w:hAnsi="Arial" w:cs="Arial"/>
              </w:rPr>
              <w:t>.</w:t>
            </w:r>
          </w:p>
        </w:tc>
      </w:tr>
      <w:tr w:rsidR="00A520FD" w:rsidTr="00A520FD">
        <w:tc>
          <w:tcPr>
            <w:tcW w:w="10070" w:type="dxa"/>
          </w:tcPr>
          <w:p w:rsidR="00A520FD" w:rsidRDefault="00D1083F" w:rsidP="00A520FD">
            <w:pPr>
              <w:rPr>
                <w:rFonts w:ascii="Arial" w:hAnsi="Arial" w:cs="Arial"/>
              </w:rPr>
            </w:pPr>
            <w:r>
              <w:rPr>
                <w:rFonts w:ascii="Arial" w:hAnsi="Arial" w:cs="Arial"/>
              </w:rPr>
              <w:t>INSTITUTIONAL ADVANCEMENT</w:t>
            </w:r>
          </w:p>
          <w:p w:rsidR="00711E20" w:rsidRDefault="00711E20" w:rsidP="00711E20">
            <w:pPr>
              <w:pStyle w:val="ListParagraph"/>
              <w:numPr>
                <w:ilvl w:val="0"/>
                <w:numId w:val="4"/>
              </w:numPr>
              <w:rPr>
                <w:rFonts w:ascii="Arial" w:hAnsi="Arial" w:cs="Arial"/>
              </w:rPr>
            </w:pPr>
            <w:r>
              <w:rPr>
                <w:rFonts w:ascii="Arial" w:hAnsi="Arial" w:cs="Arial"/>
              </w:rPr>
              <w:t>Identifies awards as advance payment and reviews award documents with Grants Accountant and Principle Investigator</w:t>
            </w:r>
            <w:r w:rsidR="008F2168">
              <w:rPr>
                <w:rFonts w:ascii="Arial" w:hAnsi="Arial" w:cs="Arial"/>
              </w:rPr>
              <w:t>(</w:t>
            </w:r>
            <w:r>
              <w:rPr>
                <w:rFonts w:ascii="Arial" w:hAnsi="Arial" w:cs="Arial"/>
              </w:rPr>
              <w:t>s</w:t>
            </w:r>
            <w:r w:rsidR="008F2168">
              <w:rPr>
                <w:rFonts w:ascii="Arial" w:hAnsi="Arial" w:cs="Arial"/>
              </w:rPr>
              <w:t>)</w:t>
            </w:r>
            <w:r>
              <w:rPr>
                <w:rFonts w:ascii="Arial" w:hAnsi="Arial" w:cs="Arial"/>
              </w:rPr>
              <w:t>, communicate with Grants Accountant if those awards should be earning interest.</w:t>
            </w:r>
          </w:p>
          <w:p w:rsidR="00711E20" w:rsidRDefault="00711E20" w:rsidP="00711E20">
            <w:pPr>
              <w:pStyle w:val="ListParagraph"/>
              <w:numPr>
                <w:ilvl w:val="0"/>
                <w:numId w:val="4"/>
              </w:numPr>
              <w:rPr>
                <w:rFonts w:ascii="Arial" w:hAnsi="Arial" w:cs="Arial"/>
              </w:rPr>
            </w:pPr>
            <w:r w:rsidRPr="00FF58DF">
              <w:rPr>
                <w:rFonts w:ascii="Arial" w:hAnsi="Arial" w:cs="Arial"/>
              </w:rPr>
              <w:t xml:space="preserve">Coordinates with </w:t>
            </w:r>
            <w:r>
              <w:rPr>
                <w:rFonts w:ascii="Arial" w:hAnsi="Arial" w:cs="Arial"/>
              </w:rPr>
              <w:t>Grants Accountant</w:t>
            </w:r>
            <w:r w:rsidRPr="00FF58DF">
              <w:rPr>
                <w:rFonts w:ascii="Arial" w:hAnsi="Arial" w:cs="Arial"/>
              </w:rPr>
              <w:t xml:space="preserve"> for closeout and identifying amounts that need to be retained or remitted.</w:t>
            </w:r>
          </w:p>
          <w:p w:rsidR="00D1083F" w:rsidRPr="00D1083F" w:rsidRDefault="00711E20" w:rsidP="00711E20">
            <w:pPr>
              <w:pStyle w:val="ListParagraph"/>
              <w:numPr>
                <w:ilvl w:val="0"/>
                <w:numId w:val="4"/>
              </w:numPr>
              <w:rPr>
                <w:rFonts w:ascii="Arial" w:hAnsi="Arial" w:cs="Arial"/>
              </w:rPr>
            </w:pPr>
            <w:r w:rsidRPr="00FF58DF">
              <w:rPr>
                <w:rFonts w:ascii="Arial" w:hAnsi="Arial" w:cs="Arial"/>
              </w:rPr>
              <w:t>Reports the amounts of cash earned and interest earned on reports</w:t>
            </w:r>
            <w:r>
              <w:rPr>
                <w:rFonts w:ascii="Arial" w:hAnsi="Arial" w:cs="Arial"/>
              </w:rPr>
              <w:t>,</w:t>
            </w:r>
            <w:r w:rsidRPr="00FF58DF">
              <w:rPr>
                <w:rFonts w:ascii="Arial" w:hAnsi="Arial" w:cs="Arial"/>
              </w:rPr>
              <w:t xml:space="preserve"> as required</w:t>
            </w:r>
            <w:r>
              <w:rPr>
                <w:rFonts w:ascii="Arial" w:hAnsi="Arial" w:cs="Arial"/>
              </w:rPr>
              <w:t>.</w:t>
            </w:r>
          </w:p>
        </w:tc>
      </w:tr>
    </w:tbl>
    <w:p w:rsidR="00FF58DF" w:rsidRPr="00FF58DF" w:rsidRDefault="00FF58DF" w:rsidP="00FF58DF">
      <w:pPr>
        <w:rPr>
          <w:rFonts w:ascii="Arial" w:hAnsi="Arial" w:cs="Arial"/>
        </w:rPr>
      </w:pPr>
    </w:p>
    <w:sectPr w:rsidR="00FF58DF" w:rsidRPr="00FF58DF" w:rsidSect="00A520F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F" w:rsidRDefault="007B14FF" w:rsidP="007B14FF">
      <w:pPr>
        <w:spacing w:after="0" w:line="240" w:lineRule="auto"/>
      </w:pPr>
      <w:r>
        <w:separator/>
      </w:r>
    </w:p>
  </w:endnote>
  <w:endnote w:type="continuationSeparator" w:id="0">
    <w:p w:rsidR="007B14FF" w:rsidRDefault="007B14FF" w:rsidP="007B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35814"/>
      <w:docPartObj>
        <w:docPartGallery w:val="Page Numbers (Bottom of Page)"/>
        <w:docPartUnique/>
      </w:docPartObj>
    </w:sdtPr>
    <w:sdtEndPr>
      <w:rPr>
        <w:noProof/>
      </w:rPr>
    </w:sdtEndPr>
    <w:sdtContent>
      <w:p w:rsidR="00D1083F" w:rsidRDefault="00D1083F">
        <w:pPr>
          <w:pStyle w:val="Footer"/>
          <w:jc w:val="center"/>
        </w:pPr>
        <w:r>
          <w:fldChar w:fldCharType="begin"/>
        </w:r>
        <w:r>
          <w:instrText xml:space="preserve"> PAGE   \* MERGEFORMAT </w:instrText>
        </w:r>
        <w:r>
          <w:fldChar w:fldCharType="separate"/>
        </w:r>
        <w:r w:rsidR="008C5B97">
          <w:rPr>
            <w:noProof/>
          </w:rPr>
          <w:t>3</w:t>
        </w:r>
        <w:r>
          <w:rPr>
            <w:noProof/>
          </w:rPr>
          <w:fldChar w:fldCharType="end"/>
        </w:r>
      </w:p>
    </w:sdtContent>
  </w:sdt>
  <w:p w:rsidR="00D1083F" w:rsidRDefault="00D108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F" w:rsidRDefault="007B14FF" w:rsidP="007B14FF">
      <w:pPr>
        <w:spacing w:after="0" w:line="240" w:lineRule="auto"/>
      </w:pPr>
      <w:r>
        <w:separator/>
      </w:r>
    </w:p>
  </w:footnote>
  <w:footnote w:type="continuationSeparator" w:id="0">
    <w:p w:rsidR="007B14FF" w:rsidRDefault="007B14FF" w:rsidP="007B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4FF" w:rsidRPr="0058483C" w:rsidRDefault="008C5B97">
    <w:pPr>
      <w:pStyle w:val="Header"/>
      <w:rPr>
        <w:rFonts w:ascii="Arial" w:hAnsi="Arial" w:cs="Arial"/>
      </w:rPr>
    </w:pPr>
    <w:r>
      <w:rPr>
        <w:rFonts w:ascii="Arial" w:hAnsi="Arial" w:cs="Arial"/>
      </w:rPr>
      <w:t>Lincoln University</w:t>
    </w:r>
    <w:r w:rsidRPr="008C5B97">
      <w:rPr>
        <w:rFonts w:ascii="Arial" w:hAnsi="Arial" w:cs="Arial"/>
      </w:rPr>
      <w:ptab w:relativeTo="margin" w:alignment="center" w:leader="none"/>
    </w:r>
    <w:r w:rsidRPr="008C5B97">
      <w:rPr>
        <w:rFonts w:ascii="Arial" w:hAnsi="Arial" w:cs="Arial"/>
      </w:rPr>
      <w:ptab w:relativeTo="margin" w:alignment="right" w:leader="none"/>
    </w:r>
    <w:r>
      <w:rPr>
        <w:rFonts w:ascii="Arial" w:hAnsi="Arial" w:cs="Arial"/>
      </w:rPr>
      <w:t>Financial Policy Manual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2FA"/>
    <w:multiLevelType w:val="hybridMultilevel"/>
    <w:tmpl w:val="3A3A2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0C4"/>
    <w:multiLevelType w:val="hybridMultilevel"/>
    <w:tmpl w:val="9784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2A42"/>
    <w:multiLevelType w:val="hybridMultilevel"/>
    <w:tmpl w:val="BCE2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05A30"/>
    <w:multiLevelType w:val="hybridMultilevel"/>
    <w:tmpl w:val="0136EA5A"/>
    <w:lvl w:ilvl="0" w:tplc="4A08A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3875C8"/>
    <w:multiLevelType w:val="hybridMultilevel"/>
    <w:tmpl w:val="8B12A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BE1E83"/>
    <w:multiLevelType w:val="hybridMultilevel"/>
    <w:tmpl w:val="9B40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FF"/>
    <w:rsid w:val="001A3733"/>
    <w:rsid w:val="0021099F"/>
    <w:rsid w:val="002349A9"/>
    <w:rsid w:val="002B0929"/>
    <w:rsid w:val="002E0E5E"/>
    <w:rsid w:val="005400C9"/>
    <w:rsid w:val="0058483C"/>
    <w:rsid w:val="00711E20"/>
    <w:rsid w:val="00715B6D"/>
    <w:rsid w:val="00770D60"/>
    <w:rsid w:val="007B14FF"/>
    <w:rsid w:val="007E0788"/>
    <w:rsid w:val="008C5B97"/>
    <w:rsid w:val="008F2168"/>
    <w:rsid w:val="00941651"/>
    <w:rsid w:val="009F500D"/>
    <w:rsid w:val="00A520FD"/>
    <w:rsid w:val="00A826EA"/>
    <w:rsid w:val="00AA2FF5"/>
    <w:rsid w:val="00C12FC5"/>
    <w:rsid w:val="00D1083F"/>
    <w:rsid w:val="00D43C3B"/>
    <w:rsid w:val="00DA07A4"/>
    <w:rsid w:val="00EF770B"/>
    <w:rsid w:val="00FF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EB1792"/>
  <w15:chartTrackingRefBased/>
  <w15:docId w15:val="{9D52B3A1-EF1E-4967-9617-21404965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FF"/>
  </w:style>
  <w:style w:type="paragraph" w:styleId="Footer">
    <w:name w:val="footer"/>
    <w:basedOn w:val="Normal"/>
    <w:link w:val="FooterChar"/>
    <w:uiPriority w:val="99"/>
    <w:unhideWhenUsed/>
    <w:rsid w:val="007B1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FF"/>
  </w:style>
  <w:style w:type="table" w:styleId="TableGrid">
    <w:name w:val="Table Grid"/>
    <w:basedOn w:val="TableNormal"/>
    <w:uiPriority w:val="39"/>
    <w:rsid w:val="007B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83C"/>
    <w:rPr>
      <w:color w:val="0563C1" w:themeColor="hyperlink"/>
      <w:u w:val="single"/>
    </w:rPr>
  </w:style>
  <w:style w:type="paragraph" w:styleId="BalloonText">
    <w:name w:val="Balloon Text"/>
    <w:basedOn w:val="Normal"/>
    <w:link w:val="BalloonTextChar"/>
    <w:uiPriority w:val="99"/>
    <w:semiHidden/>
    <w:unhideWhenUsed/>
    <w:rsid w:val="0058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3C"/>
    <w:rPr>
      <w:rFonts w:ascii="Segoe UI" w:hAnsi="Segoe UI" w:cs="Segoe UI"/>
      <w:sz w:val="18"/>
      <w:szCs w:val="18"/>
    </w:rPr>
  </w:style>
  <w:style w:type="paragraph" w:styleId="ListParagraph">
    <w:name w:val="List Paragraph"/>
    <w:basedOn w:val="Normal"/>
    <w:uiPriority w:val="34"/>
    <w:qFormat/>
    <w:rsid w:val="005400C9"/>
    <w:pPr>
      <w:ind w:left="720"/>
      <w:contextualSpacing/>
    </w:pPr>
  </w:style>
  <w:style w:type="character" w:styleId="CommentReference">
    <w:name w:val="annotation reference"/>
    <w:basedOn w:val="DefaultParagraphFont"/>
    <w:uiPriority w:val="99"/>
    <w:semiHidden/>
    <w:unhideWhenUsed/>
    <w:rsid w:val="00A826EA"/>
    <w:rPr>
      <w:sz w:val="16"/>
      <w:szCs w:val="16"/>
    </w:rPr>
  </w:style>
  <w:style w:type="paragraph" w:styleId="CommentText">
    <w:name w:val="annotation text"/>
    <w:basedOn w:val="Normal"/>
    <w:link w:val="CommentTextChar"/>
    <w:uiPriority w:val="99"/>
    <w:semiHidden/>
    <w:unhideWhenUsed/>
    <w:rsid w:val="00A826EA"/>
    <w:pPr>
      <w:spacing w:line="240" w:lineRule="auto"/>
    </w:pPr>
    <w:rPr>
      <w:sz w:val="20"/>
      <w:szCs w:val="20"/>
    </w:rPr>
  </w:style>
  <w:style w:type="character" w:customStyle="1" w:styleId="CommentTextChar">
    <w:name w:val="Comment Text Char"/>
    <w:basedOn w:val="DefaultParagraphFont"/>
    <w:link w:val="CommentText"/>
    <w:uiPriority w:val="99"/>
    <w:semiHidden/>
    <w:rsid w:val="00A826EA"/>
    <w:rPr>
      <w:sz w:val="20"/>
      <w:szCs w:val="20"/>
    </w:rPr>
  </w:style>
  <w:style w:type="paragraph" w:styleId="CommentSubject">
    <w:name w:val="annotation subject"/>
    <w:basedOn w:val="CommentText"/>
    <w:next w:val="CommentText"/>
    <w:link w:val="CommentSubjectChar"/>
    <w:uiPriority w:val="99"/>
    <w:semiHidden/>
    <w:unhideWhenUsed/>
    <w:rsid w:val="00A826EA"/>
    <w:rPr>
      <w:b/>
      <w:bCs/>
    </w:rPr>
  </w:style>
  <w:style w:type="character" w:customStyle="1" w:styleId="CommentSubjectChar">
    <w:name w:val="Comment Subject Char"/>
    <w:basedOn w:val="CommentTextChar"/>
    <w:link w:val="CommentSubject"/>
    <w:uiPriority w:val="99"/>
    <w:semiHidden/>
    <w:rsid w:val="00A826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11"/>
    <w:rsid w:val="00FE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7ABFB3F06C4494BB403100F7B37491">
    <w:name w:val="2D7ABFB3F06C4494BB403100F7B37491"/>
    <w:rsid w:val="00FE3B11"/>
  </w:style>
  <w:style w:type="paragraph" w:customStyle="1" w:styleId="F6578E5CF2974595BF44E9A13220586E">
    <w:name w:val="F6578E5CF2974595BF44E9A13220586E"/>
    <w:rsid w:val="00FE3B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6C76-02FD-4AE1-97C0-E72A96A3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Jade</dc:creator>
  <cp:keywords/>
  <dc:description/>
  <cp:lastModifiedBy>Newcomb, Jade</cp:lastModifiedBy>
  <cp:revision>8</cp:revision>
  <cp:lastPrinted>2019-01-17T19:55:00Z</cp:lastPrinted>
  <dcterms:created xsi:type="dcterms:W3CDTF">2019-01-17T16:54:00Z</dcterms:created>
  <dcterms:modified xsi:type="dcterms:W3CDTF">2019-01-17T22:23:00Z</dcterms:modified>
</cp:coreProperties>
</file>