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60" w:rsidRDefault="007D5360" w:rsidP="005E2152">
      <w:pPr>
        <w:jc w:val="center"/>
        <w:rPr>
          <w:rFonts w:ascii="Times New Roman" w:hAnsi="Times New Roman"/>
          <w:b/>
          <w:sz w:val="28"/>
          <w:szCs w:val="28"/>
        </w:rPr>
      </w:pPr>
      <w:r>
        <w:rPr>
          <w:rFonts w:ascii="Times New Roman" w:hAnsi="Times New Roman"/>
          <w:b/>
          <w:sz w:val="28"/>
          <w:szCs w:val="28"/>
        </w:rPr>
        <w:t>Lincoln University of the Commonwealth of Pennsylvania</w:t>
      </w:r>
    </w:p>
    <w:p w:rsidR="005E2152" w:rsidRPr="005E2152" w:rsidRDefault="005E2152" w:rsidP="005E2152">
      <w:pPr>
        <w:jc w:val="center"/>
        <w:rPr>
          <w:rFonts w:ascii="Times New Roman" w:hAnsi="Times New Roman"/>
          <w:b/>
          <w:sz w:val="28"/>
          <w:szCs w:val="28"/>
        </w:rPr>
      </w:pPr>
      <w:r w:rsidRPr="00B51212">
        <w:rPr>
          <w:rFonts w:ascii="Times New Roman" w:hAnsi="Times New Roman"/>
          <w:b/>
          <w:sz w:val="28"/>
          <w:szCs w:val="28"/>
        </w:rPr>
        <w:t>CORRECTIVE ACTION PLAN (CAP) AND RESPONSE</w:t>
      </w:r>
    </w:p>
    <w:p w:rsidR="005E2152" w:rsidRDefault="005E2152" w:rsidP="00F7136B">
      <w:pPr>
        <w:rPr>
          <w:rFonts w:ascii="Times New Roman" w:hAnsi="Times New Roman"/>
          <w:color w:val="212121"/>
        </w:rPr>
      </w:pPr>
    </w:p>
    <w:p w:rsidR="005E2152" w:rsidRDefault="005E2152" w:rsidP="00F7136B">
      <w:pPr>
        <w:rPr>
          <w:rFonts w:ascii="Times New Roman" w:hAnsi="Times New Roman"/>
          <w:color w:val="212121"/>
        </w:rPr>
      </w:pPr>
    </w:p>
    <w:p w:rsidR="00F7136B" w:rsidRDefault="00F7136B" w:rsidP="00F7136B">
      <w:pPr>
        <w:rPr>
          <w:rFonts w:ascii="Times New Roman" w:hAnsi="Times New Roman"/>
          <w:color w:val="212121"/>
        </w:rPr>
      </w:pPr>
      <w:r>
        <w:rPr>
          <w:rFonts w:ascii="Times New Roman" w:hAnsi="Times New Roman"/>
          <w:color w:val="212121"/>
        </w:rPr>
        <w:t>In October 2017</w:t>
      </w:r>
      <w:r>
        <w:rPr>
          <w:rFonts w:ascii="Times New Roman" w:hAnsi="Times New Roman"/>
          <w:i/>
          <w:iCs/>
          <w:color w:val="212121"/>
        </w:rPr>
        <w:t xml:space="preserve">, </w:t>
      </w:r>
      <w:r>
        <w:rPr>
          <w:rFonts w:ascii="Times New Roman" w:hAnsi="Times New Roman"/>
          <w:color w:val="212121"/>
        </w:rPr>
        <w:t>Atlas Research (Atlas) completed a desk review</w:t>
      </w:r>
      <w:r w:rsidR="005E2152">
        <w:rPr>
          <w:rFonts w:ascii="Times New Roman" w:hAnsi="Times New Roman"/>
          <w:color w:val="212121"/>
        </w:rPr>
        <w:t xml:space="preserve"> of Lincoln University on behalf of the National Science Foundation (NSF).  The review</w:t>
      </w:r>
      <w:r>
        <w:rPr>
          <w:rFonts w:ascii="Times New Roman" w:hAnsi="Times New Roman"/>
          <w:color w:val="212121"/>
        </w:rPr>
        <w:t xml:space="preserve"> included an assessment of </w:t>
      </w:r>
      <w:r w:rsidR="005E2152">
        <w:rPr>
          <w:rFonts w:ascii="Times New Roman" w:hAnsi="Times New Roman"/>
          <w:color w:val="212121"/>
        </w:rPr>
        <w:t>the University</w:t>
      </w:r>
      <w:r>
        <w:rPr>
          <w:rFonts w:ascii="Times New Roman" w:hAnsi="Times New Roman"/>
          <w:color w:val="212121"/>
        </w:rPr>
        <w:t xml:space="preserve">’s award-related management practices, a review </w:t>
      </w:r>
      <w:r w:rsidR="005E2152">
        <w:rPr>
          <w:rFonts w:ascii="Times New Roman" w:hAnsi="Times New Roman"/>
          <w:color w:val="212121"/>
        </w:rPr>
        <w:t>our</w:t>
      </w:r>
      <w:r>
        <w:rPr>
          <w:rFonts w:ascii="Times New Roman" w:hAnsi="Times New Roman"/>
          <w:color w:val="212121"/>
        </w:rPr>
        <w:t xml:space="preserve"> accounting and financial systems, and </w:t>
      </w:r>
      <w:r w:rsidR="00631DE2">
        <w:rPr>
          <w:rFonts w:ascii="Times New Roman" w:hAnsi="Times New Roman"/>
          <w:color w:val="212121"/>
        </w:rPr>
        <w:t xml:space="preserve">an appraisal of </w:t>
      </w:r>
      <w:r w:rsidR="005E2152">
        <w:rPr>
          <w:rFonts w:ascii="Times New Roman" w:hAnsi="Times New Roman"/>
          <w:color w:val="212121"/>
        </w:rPr>
        <w:t>our</w:t>
      </w:r>
      <w:r>
        <w:rPr>
          <w:rFonts w:ascii="Times New Roman" w:hAnsi="Times New Roman"/>
          <w:color w:val="212121"/>
        </w:rPr>
        <w:t xml:space="preserve"> Award Cash Management Service (ACM$) procedures for calculating </w:t>
      </w:r>
      <w:r w:rsidR="00D20A6D">
        <w:rPr>
          <w:rFonts w:ascii="Times New Roman" w:hAnsi="Times New Roman"/>
          <w:color w:val="212121"/>
        </w:rPr>
        <w:t>amounts drawn down.  T</w:t>
      </w:r>
      <w:r>
        <w:rPr>
          <w:rFonts w:ascii="Times New Roman" w:hAnsi="Times New Roman"/>
          <w:color w:val="212121"/>
        </w:rPr>
        <w:t xml:space="preserve">he summary </w:t>
      </w:r>
      <w:r w:rsidR="00B51212">
        <w:rPr>
          <w:rFonts w:ascii="Times New Roman" w:hAnsi="Times New Roman"/>
          <w:color w:val="212121"/>
        </w:rPr>
        <w:t>report</w:t>
      </w:r>
      <w:r>
        <w:rPr>
          <w:rFonts w:ascii="Times New Roman" w:hAnsi="Times New Roman"/>
          <w:color w:val="212121"/>
        </w:rPr>
        <w:t xml:space="preserve"> </w:t>
      </w:r>
      <w:r w:rsidR="00B51212">
        <w:rPr>
          <w:rFonts w:ascii="Times New Roman" w:hAnsi="Times New Roman"/>
          <w:color w:val="212121"/>
        </w:rPr>
        <w:t>completed</w:t>
      </w:r>
      <w:r w:rsidR="00D20A6D">
        <w:rPr>
          <w:rFonts w:ascii="Times New Roman" w:hAnsi="Times New Roman"/>
          <w:color w:val="212121"/>
        </w:rPr>
        <w:t xml:space="preserve"> by Atlas, submitted to and</w:t>
      </w:r>
      <w:r>
        <w:rPr>
          <w:rFonts w:ascii="Times New Roman" w:hAnsi="Times New Roman"/>
          <w:color w:val="212121"/>
        </w:rPr>
        <w:t xml:space="preserve"> accepted by</w:t>
      </w:r>
      <w:r w:rsidR="00D20A6D">
        <w:rPr>
          <w:rFonts w:ascii="Times New Roman" w:hAnsi="Times New Roman"/>
          <w:color w:val="212121"/>
        </w:rPr>
        <w:t xml:space="preserve"> the National Science Foundation</w:t>
      </w:r>
      <w:r w:rsidR="00B51212">
        <w:rPr>
          <w:rFonts w:ascii="Times New Roman" w:hAnsi="Times New Roman"/>
          <w:color w:val="212121"/>
        </w:rPr>
        <w:t xml:space="preserve"> </w:t>
      </w:r>
      <w:r w:rsidR="00D20A6D">
        <w:rPr>
          <w:rFonts w:ascii="Times New Roman" w:hAnsi="Times New Roman"/>
          <w:color w:val="212121"/>
        </w:rPr>
        <w:t>(</w:t>
      </w:r>
      <w:r w:rsidR="00B51212">
        <w:rPr>
          <w:rFonts w:ascii="Times New Roman" w:hAnsi="Times New Roman"/>
          <w:color w:val="212121"/>
        </w:rPr>
        <w:t>NSF</w:t>
      </w:r>
      <w:r w:rsidR="00D20A6D">
        <w:rPr>
          <w:rFonts w:ascii="Times New Roman" w:hAnsi="Times New Roman"/>
          <w:color w:val="212121"/>
        </w:rPr>
        <w:t>)</w:t>
      </w:r>
      <w:r>
        <w:rPr>
          <w:rFonts w:ascii="Times New Roman" w:hAnsi="Times New Roman"/>
          <w:color w:val="212121"/>
        </w:rPr>
        <w:t xml:space="preserve">, contained </w:t>
      </w:r>
      <w:r w:rsidR="00D20A6D">
        <w:rPr>
          <w:rFonts w:ascii="Times New Roman" w:hAnsi="Times New Roman"/>
          <w:color w:val="212121"/>
        </w:rPr>
        <w:t>list of seven (7)</w:t>
      </w:r>
      <w:r w:rsidR="00B51212">
        <w:rPr>
          <w:rFonts w:ascii="Times New Roman" w:hAnsi="Times New Roman"/>
          <w:color w:val="212121"/>
        </w:rPr>
        <w:t xml:space="preserve"> concerns</w:t>
      </w:r>
      <w:r w:rsidR="00D20A6D">
        <w:rPr>
          <w:rFonts w:ascii="Times New Roman" w:hAnsi="Times New Roman"/>
          <w:color w:val="212121"/>
        </w:rPr>
        <w:t xml:space="preserve"> listed below.</w:t>
      </w:r>
    </w:p>
    <w:p w:rsidR="00D20A6D" w:rsidRDefault="00D20A6D" w:rsidP="00F7136B">
      <w:pPr>
        <w:rPr>
          <w:rFonts w:ascii="Times New Roman" w:hAnsi="Times New Roman"/>
          <w:color w:val="212121"/>
        </w:rPr>
      </w:pPr>
    </w:p>
    <w:p w:rsidR="00631DE2" w:rsidRDefault="00D20A6D" w:rsidP="00F7136B">
      <w:pPr>
        <w:rPr>
          <w:rFonts w:ascii="Times New Roman" w:hAnsi="Times New Roman"/>
          <w:color w:val="212121"/>
        </w:rPr>
      </w:pPr>
      <w:r>
        <w:rPr>
          <w:rFonts w:ascii="Times New Roman" w:hAnsi="Times New Roman"/>
          <w:color w:val="212121"/>
        </w:rPr>
        <w:t>In response to the National Science Foundation (NSF) desk review, Lincoln University is providing the following corrective action plan (CAP) and response to concerns cited in the summary re</w:t>
      </w:r>
      <w:r w:rsidR="00631DE2">
        <w:rPr>
          <w:rFonts w:ascii="Times New Roman" w:hAnsi="Times New Roman"/>
          <w:color w:val="212121"/>
        </w:rPr>
        <w:t>port</w:t>
      </w:r>
      <w:r>
        <w:rPr>
          <w:rFonts w:ascii="Times New Roman" w:hAnsi="Times New Roman"/>
          <w:color w:val="212121"/>
        </w:rPr>
        <w:t>.  The response will offer actions the University has taken or is currently undertaking in r</w:t>
      </w:r>
      <w:r w:rsidR="00754999">
        <w:rPr>
          <w:rFonts w:ascii="Times New Roman" w:hAnsi="Times New Roman"/>
          <w:color w:val="212121"/>
        </w:rPr>
        <w:t xml:space="preserve">egards to each concern.  </w:t>
      </w:r>
    </w:p>
    <w:p w:rsidR="00F7136B" w:rsidRDefault="00F7136B" w:rsidP="00F7136B">
      <w:pPr>
        <w:rPr>
          <w:color w:val="212121"/>
        </w:rPr>
      </w:pPr>
      <w:r>
        <w:rPr>
          <w:rFonts w:ascii="Times New Roman" w:hAnsi="Times New Roman"/>
          <w:color w:val="212121"/>
        </w:rPr>
        <w:t> </w:t>
      </w:r>
    </w:p>
    <w:p w:rsidR="00B51212" w:rsidRPr="0043222B" w:rsidRDefault="0043222B" w:rsidP="00B51212">
      <w:pPr>
        <w:rPr>
          <w:rFonts w:ascii="Times New Roman" w:hAnsi="Times New Roman"/>
          <w:u w:val="single"/>
        </w:rPr>
      </w:pPr>
      <w:r w:rsidRPr="0043222B">
        <w:rPr>
          <w:rFonts w:ascii="Times New Roman" w:hAnsi="Times New Roman"/>
          <w:u w:val="single"/>
        </w:rPr>
        <w:t>Clarifying Statement</w:t>
      </w:r>
    </w:p>
    <w:p w:rsidR="0043222B" w:rsidRDefault="0043222B" w:rsidP="0043222B">
      <w:pPr>
        <w:autoSpaceDE w:val="0"/>
        <w:autoSpaceDN w:val="0"/>
        <w:rPr>
          <w:rFonts w:ascii="TimesNewRomanPSMT" w:eastAsia="Times New Roman" w:hAnsi="TimesNewRomanPSMT"/>
          <w:color w:val="231F20"/>
        </w:rPr>
      </w:pPr>
    </w:p>
    <w:p w:rsidR="0043222B" w:rsidRDefault="0043222B" w:rsidP="0043222B">
      <w:pPr>
        <w:autoSpaceDE w:val="0"/>
        <w:autoSpaceDN w:val="0"/>
        <w:rPr>
          <w:rFonts w:ascii="TimesNewRomanPSMT" w:eastAsia="Times New Roman" w:hAnsi="TimesNewRomanPSMT"/>
          <w:color w:val="231F20"/>
        </w:rPr>
      </w:pPr>
      <w:r>
        <w:rPr>
          <w:rFonts w:ascii="TimesNewRomanPSMT" w:eastAsia="Times New Roman" w:hAnsi="TimesNewRomanPSMT"/>
          <w:color w:val="231F20"/>
        </w:rPr>
        <w:t>When first contacted by Atlas Research back in May/June of</w:t>
      </w:r>
      <w:r w:rsidR="009C1AF7">
        <w:rPr>
          <w:rFonts w:ascii="TimesNewRomanPSMT" w:eastAsia="Times New Roman" w:hAnsi="TimesNewRomanPSMT"/>
          <w:color w:val="231F20"/>
        </w:rPr>
        <w:t xml:space="preserve"> 2017, Lincoln University </w:t>
      </w:r>
      <w:r>
        <w:rPr>
          <w:rFonts w:ascii="TimesNewRomanPSMT" w:eastAsia="Times New Roman" w:hAnsi="TimesNewRomanPSMT"/>
          <w:color w:val="231F20"/>
        </w:rPr>
        <w:t>shared with Atlas Research</w:t>
      </w:r>
      <w:r w:rsidR="009C1AF7">
        <w:rPr>
          <w:rFonts w:ascii="TimesNewRomanPSMT" w:eastAsia="Times New Roman" w:hAnsi="TimesNewRomanPSMT"/>
          <w:color w:val="231F20"/>
        </w:rPr>
        <w:t xml:space="preserve"> that the institution was in the initial stages</w:t>
      </w:r>
      <w:r>
        <w:rPr>
          <w:rFonts w:ascii="TimesNewRomanPSMT" w:eastAsia="Times New Roman" w:hAnsi="TimesNewRomanPSMT"/>
          <w:color w:val="231F20"/>
        </w:rPr>
        <w:t xml:space="preserve"> of creating a new grants and contract administration manual to provide consistency and clarification on University and administrative policies and procedures for all grants, cooperative agreements, and contracts.  These new policy directives</w:t>
      </w:r>
      <w:r w:rsidR="009C1AF7">
        <w:rPr>
          <w:rFonts w:ascii="TimesNewRomanPSMT" w:eastAsia="Times New Roman" w:hAnsi="TimesNewRomanPSMT"/>
          <w:color w:val="231F20"/>
        </w:rPr>
        <w:t xml:space="preserve"> are and</w:t>
      </w:r>
      <w:r>
        <w:rPr>
          <w:rFonts w:ascii="TimesNewRomanPSMT" w:eastAsia="Times New Roman" w:hAnsi="TimesNewRomanPSMT"/>
          <w:color w:val="231F20"/>
        </w:rPr>
        <w:t xml:space="preserve"> will be shaped by best/promising practices and high-level policies and standards that are required or recommended by the University and extramural sponsors. These external policies and standards include, but are not limited to federal statues, program regulations, admini</w:t>
      </w:r>
      <w:r w:rsidR="00631DE2">
        <w:rPr>
          <w:rFonts w:ascii="TimesNewRomanPSMT" w:eastAsia="Times New Roman" w:hAnsi="TimesNewRomanPSMT"/>
          <w:color w:val="231F20"/>
        </w:rPr>
        <w:t>strative regulations</w:t>
      </w:r>
      <w:r>
        <w:rPr>
          <w:rFonts w:ascii="TimesNewRomanPSMT" w:eastAsia="Times New Roman" w:hAnsi="TimesNewRomanPSMT"/>
          <w:color w:val="231F20"/>
        </w:rPr>
        <w:t xml:space="preserve">, grant agreement terms and conditions (where applicable), and </w:t>
      </w:r>
      <w:r w:rsidR="00631DE2">
        <w:rPr>
          <w:rFonts w:ascii="TimesNewRomanPSMT" w:eastAsia="Times New Roman" w:hAnsi="TimesNewRomanPSMT"/>
          <w:color w:val="231F20"/>
        </w:rPr>
        <w:t>federal agency specific policies and procedures</w:t>
      </w:r>
      <w:r>
        <w:rPr>
          <w:rFonts w:ascii="TimesNewRomanPSMT" w:eastAsia="Times New Roman" w:hAnsi="TimesNewRomanPSMT"/>
          <w:color w:val="231F20"/>
        </w:rPr>
        <w:t>.</w:t>
      </w:r>
    </w:p>
    <w:p w:rsidR="009C1AF7" w:rsidRDefault="009C1AF7" w:rsidP="0043222B">
      <w:pPr>
        <w:autoSpaceDE w:val="0"/>
        <w:autoSpaceDN w:val="0"/>
        <w:rPr>
          <w:rFonts w:ascii="TimesNewRomanPSMT" w:eastAsia="Times New Roman" w:hAnsi="TimesNewRomanPSMT"/>
          <w:color w:val="231F20"/>
        </w:rPr>
      </w:pPr>
    </w:p>
    <w:p w:rsidR="00EE1C14" w:rsidRDefault="009C1AF7" w:rsidP="0043222B">
      <w:pPr>
        <w:autoSpaceDE w:val="0"/>
        <w:autoSpaceDN w:val="0"/>
        <w:rPr>
          <w:rFonts w:ascii="TimesNewRomanPSMT" w:eastAsia="Times New Roman" w:hAnsi="TimesNewRomanPSMT"/>
          <w:color w:val="231F20"/>
        </w:rPr>
      </w:pPr>
      <w:r>
        <w:rPr>
          <w:rFonts w:ascii="TimesNewRomanPSMT" w:eastAsia="Times New Roman" w:hAnsi="TimesNewRomanPSMT"/>
          <w:color w:val="231F20"/>
        </w:rPr>
        <w:t>A very rough timeframe of 18 months was projected at the time</w:t>
      </w:r>
      <w:r w:rsidR="00D90C21">
        <w:rPr>
          <w:rFonts w:ascii="TimesNewRomanPSMT" w:eastAsia="Times New Roman" w:hAnsi="TimesNewRomanPSMT"/>
          <w:color w:val="231F20"/>
        </w:rPr>
        <w:t xml:space="preserve"> of our discussions with Atlas Research.  G</w:t>
      </w:r>
      <w:r>
        <w:rPr>
          <w:rFonts w:ascii="TimesNewRomanPSMT" w:eastAsia="Times New Roman" w:hAnsi="TimesNewRomanPSMT"/>
          <w:color w:val="231F20"/>
        </w:rPr>
        <w:t>iven that the University had recently selected a new Presid</w:t>
      </w:r>
      <w:r w:rsidR="00D90C21">
        <w:rPr>
          <w:rFonts w:ascii="TimesNewRomanPSMT" w:eastAsia="Times New Roman" w:hAnsi="TimesNewRomanPSMT"/>
          <w:color w:val="231F20"/>
        </w:rPr>
        <w:t xml:space="preserve">ent, Provost, and </w:t>
      </w:r>
      <w:r w:rsidR="003E0CFC">
        <w:rPr>
          <w:rFonts w:ascii="TimesNewRomanPSMT" w:eastAsia="Times New Roman" w:hAnsi="TimesNewRomanPSMT"/>
          <w:color w:val="231F20"/>
        </w:rPr>
        <w:t xml:space="preserve">elected a new </w:t>
      </w:r>
      <w:r>
        <w:rPr>
          <w:rFonts w:ascii="TimesNewRomanPSMT" w:eastAsia="Times New Roman" w:hAnsi="TimesNewRomanPSMT"/>
          <w:color w:val="231F20"/>
        </w:rPr>
        <w:t>Board of Trustees</w:t>
      </w:r>
      <w:r w:rsidR="003E0CFC">
        <w:rPr>
          <w:rFonts w:ascii="TimesNewRomanPSMT" w:eastAsia="Times New Roman" w:hAnsi="TimesNewRomanPSMT"/>
          <w:color w:val="231F20"/>
        </w:rPr>
        <w:t>,</w:t>
      </w:r>
      <w:r w:rsidR="00D90C21">
        <w:rPr>
          <w:rFonts w:ascii="TimesNewRomanPSMT" w:eastAsia="Times New Roman" w:hAnsi="TimesNewRomanPSMT"/>
          <w:color w:val="231F20"/>
        </w:rPr>
        <w:t xml:space="preserve"> we want</w:t>
      </w:r>
      <w:r w:rsidR="003E0CFC">
        <w:rPr>
          <w:rFonts w:ascii="TimesNewRomanPSMT" w:eastAsia="Times New Roman" w:hAnsi="TimesNewRomanPSMT"/>
          <w:color w:val="231F20"/>
        </w:rPr>
        <w:t>ed</w:t>
      </w:r>
      <w:r w:rsidR="00D90C21">
        <w:rPr>
          <w:rFonts w:ascii="TimesNewRomanPSMT" w:eastAsia="Times New Roman" w:hAnsi="TimesNewRomanPSMT"/>
          <w:color w:val="231F20"/>
        </w:rPr>
        <w:t xml:space="preserve"> to offer a flexible enough timeline to accommodate the new administration</w:t>
      </w:r>
      <w:r>
        <w:rPr>
          <w:rFonts w:ascii="TimesNewRomanPSMT" w:eastAsia="Times New Roman" w:hAnsi="TimesNewRomanPSMT"/>
          <w:color w:val="231F20"/>
        </w:rPr>
        <w:t>.</w:t>
      </w:r>
      <w:r w:rsidR="00D90C21">
        <w:rPr>
          <w:rFonts w:ascii="TimesNewRomanPSMT" w:eastAsia="Times New Roman" w:hAnsi="TimesNewRomanPSMT"/>
          <w:color w:val="231F20"/>
        </w:rPr>
        <w:t xml:space="preserve">  </w:t>
      </w:r>
      <w:r w:rsidR="003E0CFC">
        <w:rPr>
          <w:rFonts w:ascii="TimesNewRomanPSMT" w:eastAsia="Times New Roman" w:hAnsi="TimesNewRomanPSMT"/>
          <w:color w:val="231F20"/>
        </w:rPr>
        <w:t>As well</w:t>
      </w:r>
      <w:r w:rsidR="00D90C21">
        <w:rPr>
          <w:rFonts w:ascii="TimesNewRomanPSMT" w:eastAsia="Times New Roman" w:hAnsi="TimesNewRomanPSMT"/>
          <w:color w:val="231F20"/>
        </w:rPr>
        <w:t>, the University had just hired a new Director</w:t>
      </w:r>
      <w:r w:rsidR="003E0CFC">
        <w:rPr>
          <w:rFonts w:ascii="TimesNewRomanPSMT" w:eastAsia="Times New Roman" w:hAnsi="TimesNewRomanPSMT"/>
          <w:color w:val="231F20"/>
        </w:rPr>
        <w:t xml:space="preserve"> for</w:t>
      </w:r>
      <w:r w:rsidR="00D90C21">
        <w:rPr>
          <w:rFonts w:ascii="TimesNewRomanPSMT" w:eastAsia="Times New Roman" w:hAnsi="TimesNewRomanPSMT"/>
          <w:color w:val="231F20"/>
        </w:rPr>
        <w:t xml:space="preserve"> the Office of Research and Sponsored Programs (ORSP) and a new Comptroller for the University.  Both the new Director of </w:t>
      </w:r>
      <w:r w:rsidR="003E0CFC">
        <w:rPr>
          <w:rFonts w:ascii="TimesNewRomanPSMT" w:eastAsia="Times New Roman" w:hAnsi="TimesNewRomanPSMT"/>
          <w:color w:val="231F20"/>
        </w:rPr>
        <w:t>ORSP and</w:t>
      </w:r>
      <w:r w:rsidR="00D90C21">
        <w:rPr>
          <w:rFonts w:ascii="TimesNewRomanPSMT" w:eastAsia="Times New Roman" w:hAnsi="TimesNewRomanPSMT"/>
          <w:color w:val="231F20"/>
        </w:rPr>
        <w:t xml:space="preserve"> Comptroller were still in the stages of evaluating sponsored program policies and accounting procedures</w:t>
      </w:r>
      <w:r w:rsidR="003E0CFC">
        <w:rPr>
          <w:rFonts w:ascii="TimesNewRomanPSMT" w:eastAsia="Times New Roman" w:hAnsi="TimesNewRomanPSMT"/>
          <w:color w:val="231F20"/>
        </w:rPr>
        <w:t xml:space="preserve"> to assess where the University was and to make recommendations for filling gaps and updating the University’s </w:t>
      </w:r>
      <w:r w:rsidR="00631DE2">
        <w:rPr>
          <w:rFonts w:ascii="TimesNewRomanPSMT" w:eastAsia="Times New Roman" w:hAnsi="TimesNewRomanPSMT"/>
          <w:color w:val="231F20"/>
        </w:rPr>
        <w:t xml:space="preserve">programmatic and accounting </w:t>
      </w:r>
      <w:r w:rsidR="003E0CFC">
        <w:rPr>
          <w:rFonts w:ascii="TimesNewRomanPSMT" w:eastAsia="Times New Roman" w:hAnsi="TimesNewRomanPSMT"/>
          <w:color w:val="231F20"/>
        </w:rPr>
        <w:t>policies and procedures</w:t>
      </w:r>
      <w:r w:rsidR="00D90C21">
        <w:rPr>
          <w:rFonts w:ascii="TimesNewRomanPSMT" w:eastAsia="Times New Roman" w:hAnsi="TimesNewRomanPSMT"/>
          <w:color w:val="231F20"/>
        </w:rPr>
        <w:t>.</w:t>
      </w:r>
      <w:r>
        <w:rPr>
          <w:rFonts w:ascii="TimesNewRomanPSMT" w:eastAsia="Times New Roman" w:hAnsi="TimesNewRomanPSMT"/>
          <w:color w:val="231F20"/>
        </w:rPr>
        <w:t xml:space="preserve">  The University continues to diligently work to have</w:t>
      </w:r>
      <w:r w:rsidR="00D90C21">
        <w:rPr>
          <w:rFonts w:ascii="TimesNewRomanPSMT" w:eastAsia="Times New Roman" w:hAnsi="TimesNewRomanPSMT"/>
          <w:color w:val="231F20"/>
        </w:rPr>
        <w:t xml:space="preserve"> these new and updat</w:t>
      </w:r>
      <w:r w:rsidR="003E0CFC">
        <w:rPr>
          <w:rFonts w:ascii="TimesNewRomanPSMT" w:eastAsia="Times New Roman" w:hAnsi="TimesNewRomanPSMT"/>
          <w:color w:val="231F20"/>
        </w:rPr>
        <w:t>ed</w:t>
      </w:r>
      <w:r w:rsidR="00D90C21">
        <w:rPr>
          <w:rFonts w:ascii="TimesNewRomanPSMT" w:eastAsia="Times New Roman" w:hAnsi="TimesNewRomanPSMT"/>
          <w:color w:val="231F20"/>
        </w:rPr>
        <w:t xml:space="preserve"> policies</w:t>
      </w:r>
      <w:r>
        <w:rPr>
          <w:rFonts w:ascii="TimesNewRomanPSMT" w:eastAsia="Times New Roman" w:hAnsi="TimesNewRomanPSMT"/>
          <w:color w:val="231F20"/>
        </w:rPr>
        <w:t xml:space="preserve">, procedures, and </w:t>
      </w:r>
      <w:r w:rsidR="00D90C21">
        <w:rPr>
          <w:rFonts w:ascii="TimesNewRomanPSMT" w:eastAsia="Times New Roman" w:hAnsi="TimesNewRomanPSMT"/>
          <w:color w:val="231F20"/>
        </w:rPr>
        <w:t xml:space="preserve">accounting </w:t>
      </w:r>
      <w:r>
        <w:rPr>
          <w:rFonts w:ascii="TimesNewRomanPSMT" w:eastAsia="Times New Roman" w:hAnsi="TimesNewRomanPSMT"/>
          <w:color w:val="231F20"/>
        </w:rPr>
        <w:t>practi</w:t>
      </w:r>
      <w:r w:rsidR="00D90C21">
        <w:rPr>
          <w:rFonts w:ascii="TimesNewRomanPSMT" w:eastAsia="Times New Roman" w:hAnsi="TimesNewRomanPSMT"/>
          <w:color w:val="231F20"/>
        </w:rPr>
        <w:t>ces in place as soon as possible</w:t>
      </w:r>
      <w:r>
        <w:rPr>
          <w:rFonts w:ascii="TimesNewRomanPSMT" w:eastAsia="Times New Roman" w:hAnsi="TimesNewRomanPSMT"/>
          <w:color w:val="231F20"/>
        </w:rPr>
        <w:t>.</w:t>
      </w:r>
      <w:r w:rsidR="00D90C21" w:rsidRPr="00D90C21">
        <w:rPr>
          <w:rFonts w:ascii="TimesNewRomanPSMT" w:eastAsia="Times New Roman" w:hAnsi="TimesNewRomanPSMT"/>
          <w:color w:val="231F20"/>
        </w:rPr>
        <w:t xml:space="preserve"> </w:t>
      </w:r>
      <w:r w:rsidR="00D90C21">
        <w:rPr>
          <w:rFonts w:ascii="TimesNewRomanPSMT" w:eastAsia="Times New Roman" w:hAnsi="TimesNewRomanPSMT"/>
          <w:color w:val="231F20"/>
        </w:rPr>
        <w:t xml:space="preserve">It is still anticipated that we will have all policies and procedures written, documented and approved with this calendar year (2018).    </w:t>
      </w:r>
    </w:p>
    <w:p w:rsidR="00EE1C14" w:rsidRDefault="00EE1C14" w:rsidP="0043222B">
      <w:pPr>
        <w:autoSpaceDE w:val="0"/>
        <w:autoSpaceDN w:val="0"/>
        <w:rPr>
          <w:rFonts w:ascii="TimesNewRomanPSMT" w:eastAsia="Times New Roman" w:hAnsi="TimesNewRomanPSMT"/>
          <w:color w:val="231F20"/>
        </w:rPr>
      </w:pPr>
    </w:p>
    <w:p w:rsidR="009C1AF7" w:rsidRPr="00EE1C14" w:rsidRDefault="00EE1C14" w:rsidP="0043222B">
      <w:pPr>
        <w:autoSpaceDE w:val="0"/>
        <w:autoSpaceDN w:val="0"/>
        <w:rPr>
          <w:rFonts w:ascii="TimesNewRomanPSMT" w:eastAsia="Times New Roman" w:hAnsi="TimesNewRomanPSMT"/>
          <w:color w:val="231F20"/>
          <w:u w:val="single"/>
        </w:rPr>
      </w:pPr>
      <w:r w:rsidRPr="00EE1C14">
        <w:rPr>
          <w:rFonts w:ascii="TimesNewRomanPSMT" w:eastAsia="Times New Roman" w:hAnsi="TimesNewRomanPSMT"/>
          <w:color w:val="231F20"/>
          <w:u w:val="single"/>
        </w:rPr>
        <w:t>Corrective Action Plan and Response</w:t>
      </w:r>
      <w:r w:rsidR="009C1AF7" w:rsidRPr="00EE1C14">
        <w:rPr>
          <w:rFonts w:ascii="TimesNewRomanPSMT" w:eastAsia="Times New Roman" w:hAnsi="TimesNewRomanPSMT"/>
          <w:color w:val="231F20"/>
          <w:u w:val="single"/>
        </w:rPr>
        <w:t xml:space="preserve">   </w:t>
      </w:r>
    </w:p>
    <w:p w:rsidR="0043222B" w:rsidRDefault="0043222B" w:rsidP="00B51212">
      <w:pPr>
        <w:rPr>
          <w:rFonts w:ascii="Times New Roman" w:hAnsi="Times New Roman"/>
        </w:rPr>
      </w:pPr>
    </w:p>
    <w:p w:rsidR="00B51212" w:rsidRPr="00626F3D" w:rsidRDefault="00B51212" w:rsidP="00626F3D">
      <w:pPr>
        <w:pStyle w:val="ListParagraph"/>
        <w:numPr>
          <w:ilvl w:val="0"/>
          <w:numId w:val="17"/>
        </w:numPr>
        <w:autoSpaceDE w:val="0"/>
        <w:autoSpaceDN w:val="0"/>
        <w:rPr>
          <w:rFonts w:ascii="TimesNewRomanPSMT" w:eastAsia="Times New Roman" w:hAnsi="TimesNewRomanPSMT"/>
          <w:color w:val="231F20"/>
        </w:rPr>
      </w:pPr>
      <w:r w:rsidRPr="00626F3D">
        <w:rPr>
          <w:rFonts w:ascii="TimesNewRomanPSMT" w:eastAsia="Times New Roman" w:hAnsi="TimesNewRomanPSMT"/>
          <w:b/>
          <w:color w:val="231F20"/>
        </w:rPr>
        <w:t xml:space="preserve">Concern: </w:t>
      </w:r>
      <w:r w:rsidRPr="00626F3D">
        <w:rPr>
          <w:rFonts w:ascii="TimesNewRomanPSMT" w:eastAsia="Times New Roman" w:hAnsi="TimesNewRomanPSMT"/>
          <w:color w:val="231F20"/>
        </w:rPr>
        <w:t xml:space="preserve">Although Lincoln University (LU) provided a policy and associated procedures for cost transfers, procedures have not been fully documented. Specifically, </w:t>
      </w:r>
      <w:r w:rsidRPr="00626F3D">
        <w:rPr>
          <w:rFonts w:ascii="TimesNewRomanPSMT" w:eastAsia="Times New Roman" w:hAnsi="TimesNewRomanPSMT"/>
          <w:color w:val="231F20"/>
        </w:rPr>
        <w:lastRenderedPageBreak/>
        <w:t>procedures related to who initiates and approves cost transfers are not documented. In addition, although LU has established a written 90-day deadline for processing cost transfers, it acknowledges that it has no established procedures for enforcing that deadline.</w:t>
      </w:r>
    </w:p>
    <w:p w:rsidR="00D001FE" w:rsidRPr="00D001FE" w:rsidRDefault="000613F7" w:rsidP="00D001FE">
      <w:pPr>
        <w:spacing w:before="100" w:beforeAutospacing="1" w:after="100" w:afterAutospacing="1"/>
        <w:ind w:left="720"/>
        <w:rPr>
          <w:rFonts w:ascii="Times New Roman" w:eastAsia="Times New Roman" w:hAnsi="Times New Roman"/>
        </w:rPr>
      </w:pPr>
      <w:r>
        <w:rPr>
          <w:rFonts w:ascii="TimesNewRomanPSMT" w:eastAsia="Times New Roman" w:hAnsi="TimesNewRomanPSMT"/>
          <w:b/>
          <w:color w:val="231F20"/>
        </w:rPr>
        <w:t>Action Taken:</w:t>
      </w:r>
      <w:r w:rsidR="00D919F2">
        <w:rPr>
          <w:rFonts w:ascii="TimesNewRomanPSMT" w:eastAsia="Times New Roman" w:hAnsi="TimesNewRomanPSMT"/>
          <w:b/>
          <w:color w:val="231F20"/>
        </w:rPr>
        <w:t xml:space="preserve">  </w:t>
      </w:r>
      <w:r w:rsidR="00D90C21">
        <w:rPr>
          <w:rFonts w:ascii="TimesNewRomanPSMT" w:eastAsia="Times New Roman" w:hAnsi="TimesNewRomanPSMT"/>
          <w:color w:val="231F20"/>
        </w:rPr>
        <w:t xml:space="preserve">We have drafted </w:t>
      </w:r>
      <w:r w:rsidR="009B4320">
        <w:rPr>
          <w:rFonts w:ascii="TimesNewRomanPSMT" w:eastAsia="Times New Roman" w:hAnsi="TimesNewRomanPSMT"/>
          <w:color w:val="231F20"/>
        </w:rPr>
        <w:t>procedures</w:t>
      </w:r>
      <w:r w:rsidR="00D001FE">
        <w:rPr>
          <w:rFonts w:ascii="TimesNewRomanPSMT" w:eastAsia="Times New Roman" w:hAnsi="TimesNewRomanPSMT"/>
          <w:color w:val="231F20"/>
        </w:rPr>
        <w:t xml:space="preserve"> for cost transfers.</w:t>
      </w:r>
      <w:r w:rsidR="00D76CF5">
        <w:rPr>
          <w:rFonts w:ascii="TimesNewRomanPSMT" w:eastAsia="Times New Roman" w:hAnsi="TimesNewRomanPSMT"/>
          <w:color w:val="231F20"/>
        </w:rPr>
        <w:t xml:space="preserve">  </w:t>
      </w:r>
      <w:r w:rsidR="00D001FE" w:rsidRPr="00D001FE">
        <w:rPr>
          <w:rFonts w:ascii="Times New Roman" w:eastAsia="Times New Roman" w:hAnsi="Times New Roman"/>
        </w:rPr>
        <w:t>The purpose of this policy is to set forth the circumstances for transferring charges to or from a sponsored award.</w:t>
      </w:r>
      <w:r w:rsidR="00D001FE">
        <w:rPr>
          <w:rFonts w:ascii="Times New Roman" w:eastAsia="Times New Roman" w:hAnsi="Times New Roman"/>
        </w:rPr>
        <w:t xml:space="preserve">  The policy </w:t>
      </w:r>
      <w:r w:rsidR="004A4FDD">
        <w:rPr>
          <w:rFonts w:ascii="TimesNewRomanPSMT" w:eastAsia="Times New Roman" w:hAnsi="TimesNewRomanPSMT"/>
          <w:color w:val="231F20"/>
        </w:rPr>
        <w:t>address parties</w:t>
      </w:r>
      <w:r w:rsidR="00D001FE">
        <w:rPr>
          <w:rFonts w:ascii="TimesNewRomanPSMT" w:eastAsia="Times New Roman" w:hAnsi="TimesNewRomanPSMT"/>
          <w:color w:val="231F20"/>
        </w:rPr>
        <w:t xml:space="preserve"> responsib</w:t>
      </w:r>
      <w:r w:rsidR="004A4FDD">
        <w:rPr>
          <w:rFonts w:ascii="TimesNewRomanPSMT" w:eastAsia="Times New Roman" w:hAnsi="TimesNewRomanPSMT"/>
          <w:color w:val="231F20"/>
        </w:rPr>
        <w:t>le</w:t>
      </w:r>
      <w:r w:rsidR="00D001FE">
        <w:rPr>
          <w:rFonts w:ascii="TimesNewRomanPSMT" w:eastAsia="Times New Roman" w:hAnsi="TimesNewRomanPSMT"/>
          <w:color w:val="231F20"/>
        </w:rPr>
        <w:t xml:space="preserve"> for initiating and app</w:t>
      </w:r>
      <w:r w:rsidR="004A4FDD">
        <w:rPr>
          <w:rFonts w:ascii="TimesNewRomanPSMT" w:eastAsia="Times New Roman" w:hAnsi="TimesNewRomanPSMT"/>
          <w:color w:val="231F20"/>
        </w:rPr>
        <w:t>rov</w:t>
      </w:r>
      <w:r w:rsidR="00D001FE">
        <w:rPr>
          <w:rFonts w:ascii="TimesNewRomanPSMT" w:eastAsia="Times New Roman" w:hAnsi="TimesNewRomanPSMT"/>
          <w:color w:val="231F20"/>
        </w:rPr>
        <w:t>ing cost transfers</w:t>
      </w:r>
      <w:r w:rsidR="004A4FDD">
        <w:rPr>
          <w:rFonts w:ascii="TimesNewRomanPSMT" w:eastAsia="Times New Roman" w:hAnsi="TimesNewRomanPSMT"/>
          <w:color w:val="231F20"/>
        </w:rPr>
        <w:t>.</w:t>
      </w:r>
    </w:p>
    <w:p w:rsidR="009B4320" w:rsidRPr="009B4320" w:rsidRDefault="009B4320" w:rsidP="00626F3D">
      <w:pPr>
        <w:autoSpaceDE w:val="0"/>
        <w:autoSpaceDN w:val="0"/>
        <w:ind w:left="720"/>
        <w:rPr>
          <w:rFonts w:ascii="TimesNewRomanPSMT" w:eastAsia="Times New Roman" w:hAnsi="TimesNewRomanPSMT"/>
          <w:color w:val="231F20"/>
        </w:rPr>
      </w:pPr>
      <w:r>
        <w:rPr>
          <w:rFonts w:ascii="TimesNewRomanPSMT" w:eastAsia="Times New Roman" w:hAnsi="TimesNewRomanPSMT"/>
          <w:b/>
          <w:color w:val="231F20"/>
        </w:rPr>
        <w:t>When:</w:t>
      </w:r>
      <w:r>
        <w:rPr>
          <w:rFonts w:ascii="TimesNewRomanPSMT" w:eastAsia="Times New Roman" w:hAnsi="TimesNewRomanPSMT"/>
          <w:color w:val="231F20"/>
        </w:rPr>
        <w:t xml:space="preserve">  The new policy was drafted in December, 2017.  It is anticipated that the new policy will be made actionable and official once the Administration and the Board of Trustees have accepted and ratified the policy and procedures manual.  Again, we anticipate this happening within the 2018 calendar year.  Until that time, Lincoln University will continue to adhere to the Federal Office of Management and Budget Uniform Guidance (2 CFR 200) and other applicable Federal and agency specific rules, regulations, and guidance.  </w:t>
      </w:r>
    </w:p>
    <w:p w:rsidR="00EE1C14" w:rsidRDefault="00EE1C14" w:rsidP="00B51212">
      <w:pPr>
        <w:autoSpaceDE w:val="0"/>
        <w:autoSpaceDN w:val="0"/>
        <w:rPr>
          <w:rFonts w:ascii="TimesNewRomanPSMT" w:hAnsi="TimesNewRomanPSMT"/>
          <w:color w:val="231F20"/>
        </w:rPr>
      </w:pPr>
    </w:p>
    <w:p w:rsidR="009B4320" w:rsidRPr="009B4320" w:rsidRDefault="009B4320" w:rsidP="00626F3D">
      <w:pPr>
        <w:autoSpaceDE w:val="0"/>
        <w:autoSpaceDN w:val="0"/>
        <w:ind w:left="720"/>
        <w:rPr>
          <w:rFonts w:ascii="TimesNewRomanPSMT" w:hAnsi="TimesNewRomanPSMT"/>
          <w:color w:val="231F20"/>
        </w:rPr>
      </w:pPr>
      <w:r>
        <w:rPr>
          <w:rFonts w:ascii="TimesNewRomanPSMT" w:hAnsi="TimesNewRomanPSMT"/>
          <w:b/>
          <w:color w:val="231F20"/>
        </w:rPr>
        <w:t>Supporting Documentation:</w:t>
      </w:r>
      <w:r>
        <w:rPr>
          <w:rFonts w:ascii="TimesNewRomanPSMT" w:hAnsi="TimesNewRomanPSMT"/>
          <w:color w:val="231F20"/>
        </w:rPr>
        <w:t xml:space="preserve">  Draft policies can be submitte</w:t>
      </w:r>
      <w:r w:rsidR="00D76CF5">
        <w:rPr>
          <w:rFonts w:ascii="TimesNewRomanPSMT" w:hAnsi="TimesNewRomanPSMT"/>
          <w:color w:val="231F20"/>
        </w:rPr>
        <w:t xml:space="preserve">d upon request, however, please </w:t>
      </w:r>
      <w:proofErr w:type="gramStart"/>
      <w:r>
        <w:rPr>
          <w:rFonts w:ascii="TimesNewRomanPSMT" w:hAnsi="TimesNewRomanPSMT"/>
          <w:color w:val="231F20"/>
        </w:rPr>
        <w:t>note</w:t>
      </w:r>
      <w:proofErr w:type="gramEnd"/>
      <w:r>
        <w:rPr>
          <w:rFonts w:ascii="TimesNewRomanPSMT" w:hAnsi="TimesNewRomanPSMT"/>
          <w:color w:val="231F20"/>
        </w:rPr>
        <w:t xml:space="preserve"> that these policies are only draft and are not actionable until approved by the Administration (President, Provost, and VP for Fiscal Affairs) and the Board </w:t>
      </w:r>
      <w:r w:rsidR="00D76CF5">
        <w:rPr>
          <w:rFonts w:ascii="TimesNewRomanPSMT" w:hAnsi="TimesNewRomanPSMT"/>
          <w:color w:val="231F20"/>
        </w:rPr>
        <w:t>of Trustees</w:t>
      </w:r>
      <w:r>
        <w:rPr>
          <w:rFonts w:ascii="TimesNewRomanPSMT" w:hAnsi="TimesNewRomanPSMT"/>
          <w:color w:val="231F20"/>
        </w:rPr>
        <w:t xml:space="preserve">. </w:t>
      </w:r>
    </w:p>
    <w:p w:rsidR="009B4320" w:rsidRDefault="009B4320" w:rsidP="00B51212">
      <w:pPr>
        <w:autoSpaceDE w:val="0"/>
        <w:autoSpaceDN w:val="0"/>
        <w:rPr>
          <w:rFonts w:ascii="TimesNewRomanPSMT" w:hAnsi="TimesNewRomanPSMT"/>
          <w:color w:val="231F20"/>
        </w:rPr>
      </w:pPr>
    </w:p>
    <w:p w:rsidR="00B51212" w:rsidRDefault="000613F7" w:rsidP="00626F3D">
      <w:pPr>
        <w:pStyle w:val="ListParagraph"/>
        <w:numPr>
          <w:ilvl w:val="0"/>
          <w:numId w:val="17"/>
        </w:numPr>
        <w:autoSpaceDE w:val="0"/>
        <w:autoSpaceDN w:val="0"/>
        <w:rPr>
          <w:rFonts w:ascii="TimesNewRomanPSMT" w:eastAsia="Times New Roman" w:hAnsi="TimesNewRomanPSMT"/>
          <w:color w:val="231F20"/>
        </w:rPr>
      </w:pPr>
      <w:r w:rsidRPr="00626F3D">
        <w:rPr>
          <w:rFonts w:ascii="TimesNewRomanPSMT" w:eastAsia="Times New Roman" w:hAnsi="TimesNewRomanPSMT"/>
          <w:b/>
          <w:color w:val="231F20"/>
        </w:rPr>
        <w:t>Concern:</w:t>
      </w:r>
      <w:r w:rsidRPr="00626F3D">
        <w:rPr>
          <w:rFonts w:ascii="TimesNewRomanPSMT" w:eastAsia="Times New Roman" w:hAnsi="TimesNewRomanPSMT"/>
          <w:color w:val="231F20"/>
        </w:rPr>
        <w:t xml:space="preserve">  </w:t>
      </w:r>
      <w:r w:rsidR="00B51212" w:rsidRPr="00626F3D">
        <w:rPr>
          <w:rFonts w:ascii="TimesNewRomanPSMT" w:eastAsia="Times New Roman" w:hAnsi="TimesNewRomanPSMT"/>
          <w:color w:val="231F20"/>
        </w:rPr>
        <w:t>Instead of a consolidated accounting manual (not an issue), LU maintains several separate policies and procedures for accounting related processes. We reviewed policies and procedures related to accounts payable, payroll, accounts receivable, and grants revenue recognition. The accounts payable policy and related procedures appeared well prepared. Other documents seemed to be a mixture of how to use a software system, worksheet, or were too short to provide effective guidance to employees responsible for those functions. Many of these documents lacked common components typically found in formal policies and procedures, e.g., issue date, overarching policy description, timeframes or schedules for completing tasks, positions responsible for completing those procedures, or practical step-by-step procedures. In addition, we were unable to verify the existence of other common accounting procedures such as bank account reconciliations, year-end closing, and fixed assets.</w:t>
      </w:r>
    </w:p>
    <w:p w:rsidR="0098642E" w:rsidRPr="00D76CF5" w:rsidRDefault="0098642E" w:rsidP="0098642E">
      <w:pPr>
        <w:spacing w:before="100" w:beforeAutospacing="1" w:after="100" w:afterAutospacing="1"/>
        <w:ind w:left="720"/>
        <w:rPr>
          <w:rFonts w:ascii="Times New Roman" w:eastAsia="Times New Roman" w:hAnsi="Times New Roman"/>
        </w:rPr>
      </w:pPr>
      <w:r>
        <w:rPr>
          <w:rFonts w:ascii="TimesNewRomanPSMT" w:eastAsia="Times New Roman" w:hAnsi="TimesNewRomanPSMT"/>
          <w:b/>
          <w:color w:val="231F20"/>
        </w:rPr>
        <w:t xml:space="preserve">Action Taken:  </w:t>
      </w:r>
      <w:r>
        <w:rPr>
          <w:rFonts w:ascii="TimesNewRomanPSMT" w:eastAsia="Times New Roman" w:hAnsi="TimesNewRomanPSMT"/>
          <w:color w:val="231F20"/>
        </w:rPr>
        <w:t xml:space="preserve">We are currently assessing our accounting policies.  </w:t>
      </w:r>
      <w:r w:rsidRPr="00D76CF5">
        <w:rPr>
          <w:rFonts w:ascii="Times New Roman" w:eastAsia="Times New Roman" w:hAnsi="Times New Roman"/>
        </w:rPr>
        <w:t xml:space="preserve">Lincoln University adheres to the Federal Office of Management and Budget Uniform Guidance </w:t>
      </w:r>
      <w:r>
        <w:rPr>
          <w:rFonts w:ascii="Times New Roman" w:eastAsia="Times New Roman" w:hAnsi="Times New Roman"/>
        </w:rPr>
        <w:t xml:space="preserve">(2 CFR 200) and </w:t>
      </w:r>
      <w:r w:rsidRPr="00D76CF5">
        <w:rPr>
          <w:rFonts w:ascii="Times New Roman" w:eastAsia="Times New Roman" w:hAnsi="Times New Roman"/>
        </w:rPr>
        <w:t>other applicable government regulations as well as</w:t>
      </w:r>
      <w:r>
        <w:rPr>
          <w:rFonts w:ascii="Times New Roman" w:eastAsia="Times New Roman" w:hAnsi="Times New Roman"/>
        </w:rPr>
        <w:t xml:space="preserve"> sponsor terms and conditions in monitoring budgets and expenditures on sponsored programs</w:t>
      </w:r>
      <w:r w:rsidRPr="00D76CF5">
        <w:rPr>
          <w:rFonts w:ascii="Times New Roman" w:eastAsia="Times New Roman" w:hAnsi="Times New Roman"/>
        </w:rPr>
        <w:t>.</w:t>
      </w:r>
    </w:p>
    <w:p w:rsidR="0098642E" w:rsidRPr="009B4320" w:rsidRDefault="0098642E" w:rsidP="0098642E">
      <w:pPr>
        <w:autoSpaceDE w:val="0"/>
        <w:autoSpaceDN w:val="0"/>
        <w:ind w:left="720"/>
        <w:rPr>
          <w:rFonts w:ascii="TimesNewRomanPSMT" w:eastAsia="Times New Roman" w:hAnsi="TimesNewRomanPSMT"/>
          <w:color w:val="231F20"/>
        </w:rPr>
      </w:pPr>
      <w:r>
        <w:rPr>
          <w:rFonts w:ascii="TimesNewRomanPSMT" w:eastAsia="Times New Roman" w:hAnsi="TimesNewRomanPSMT"/>
          <w:b/>
          <w:color w:val="231F20"/>
        </w:rPr>
        <w:t>When:</w:t>
      </w:r>
      <w:r>
        <w:rPr>
          <w:rFonts w:ascii="TimesNewRomanPSMT" w:eastAsia="Times New Roman" w:hAnsi="TimesNewRomanPSMT"/>
          <w:color w:val="231F20"/>
        </w:rPr>
        <w:t xml:space="preserve">  We anticipate these policies and procedures and accounting manual to be drafted and approved within the 2018 calendar year.  </w:t>
      </w:r>
    </w:p>
    <w:p w:rsidR="0098642E" w:rsidRDefault="0098642E" w:rsidP="0098642E">
      <w:pPr>
        <w:autoSpaceDE w:val="0"/>
        <w:autoSpaceDN w:val="0"/>
        <w:rPr>
          <w:rFonts w:ascii="TimesNewRomanPSMT" w:hAnsi="TimesNewRomanPSMT"/>
          <w:color w:val="231F20"/>
        </w:rPr>
      </w:pPr>
    </w:p>
    <w:p w:rsidR="0098642E" w:rsidRPr="009B4320" w:rsidRDefault="0098642E" w:rsidP="0098642E">
      <w:pPr>
        <w:autoSpaceDE w:val="0"/>
        <w:autoSpaceDN w:val="0"/>
        <w:ind w:left="720"/>
        <w:rPr>
          <w:rFonts w:ascii="TimesNewRomanPSMT" w:hAnsi="TimesNewRomanPSMT"/>
          <w:color w:val="231F20"/>
        </w:rPr>
      </w:pPr>
      <w:proofErr w:type="gramStart"/>
      <w:r>
        <w:rPr>
          <w:rFonts w:ascii="TimesNewRomanPSMT" w:hAnsi="TimesNewRomanPSMT"/>
          <w:b/>
          <w:color w:val="231F20"/>
        </w:rPr>
        <w:t>Supporting Documentation:</w:t>
      </w:r>
      <w:r>
        <w:rPr>
          <w:rFonts w:ascii="TimesNewRomanPSMT" w:hAnsi="TimesNewRomanPSMT"/>
          <w:color w:val="231F20"/>
        </w:rPr>
        <w:t xml:space="preserve"> Copies of the draft policies can be provided after being </w:t>
      </w:r>
      <w:r w:rsidR="00D001FE">
        <w:rPr>
          <w:rFonts w:ascii="TimesNewRomanPSMT" w:hAnsi="TimesNewRomanPSMT"/>
          <w:color w:val="231F20"/>
        </w:rPr>
        <w:t>written</w:t>
      </w:r>
      <w:r>
        <w:rPr>
          <w:rFonts w:ascii="TimesNewRomanPSMT" w:hAnsi="TimesNewRomanPSMT"/>
          <w:color w:val="231F20"/>
        </w:rPr>
        <w:t>.</w:t>
      </w:r>
      <w:proofErr w:type="gramEnd"/>
      <w:r>
        <w:rPr>
          <w:rFonts w:ascii="TimesNewRomanPSMT" w:hAnsi="TimesNewRomanPSMT"/>
          <w:color w:val="231F20"/>
        </w:rPr>
        <w:t xml:space="preserve"> </w:t>
      </w:r>
    </w:p>
    <w:p w:rsidR="00B51212" w:rsidRDefault="00B51212" w:rsidP="00B51212">
      <w:pPr>
        <w:autoSpaceDE w:val="0"/>
        <w:autoSpaceDN w:val="0"/>
        <w:rPr>
          <w:rFonts w:ascii="TimesNewRomanPSMT" w:hAnsi="TimesNewRomanPSMT"/>
          <w:color w:val="231F20"/>
        </w:rPr>
      </w:pPr>
    </w:p>
    <w:p w:rsidR="00B51212" w:rsidRPr="00626F3D" w:rsidRDefault="00D76CF5" w:rsidP="00626F3D">
      <w:pPr>
        <w:pStyle w:val="ListParagraph"/>
        <w:numPr>
          <w:ilvl w:val="0"/>
          <w:numId w:val="17"/>
        </w:numPr>
        <w:autoSpaceDE w:val="0"/>
        <w:autoSpaceDN w:val="0"/>
        <w:rPr>
          <w:rFonts w:ascii="Times New Roman" w:eastAsia="Times New Roman" w:hAnsi="Times New Roman"/>
          <w:color w:val="221E1F"/>
        </w:rPr>
      </w:pPr>
      <w:r w:rsidRPr="00626F3D">
        <w:rPr>
          <w:rFonts w:ascii="Times New Roman" w:eastAsia="Times New Roman" w:hAnsi="Times New Roman"/>
          <w:b/>
          <w:color w:val="221E1F"/>
        </w:rPr>
        <w:lastRenderedPageBreak/>
        <w:t xml:space="preserve">Concern:  </w:t>
      </w:r>
      <w:r w:rsidR="00B51212" w:rsidRPr="00626F3D">
        <w:rPr>
          <w:rFonts w:ascii="Times New Roman" w:eastAsia="Times New Roman" w:hAnsi="Times New Roman"/>
          <w:color w:val="221E1F"/>
        </w:rPr>
        <w:t>LU's written policies and procedures related to the accounting treatment of unallowable costs are not fully documented; they were drafted for this review and had not been formally approved. The lack of documented guidance may lead to inconsistent accounting treatment of project-related costs and could potentially result in allowable costs being charged to NSF- Funded projects.</w:t>
      </w:r>
    </w:p>
    <w:p w:rsidR="00D76CF5" w:rsidRDefault="00D76CF5" w:rsidP="00D76CF5">
      <w:pPr>
        <w:autoSpaceDE w:val="0"/>
        <w:autoSpaceDN w:val="0"/>
        <w:rPr>
          <w:rFonts w:ascii="Times New Roman" w:eastAsia="Times New Roman" w:hAnsi="Times New Roman"/>
          <w:color w:val="221E1F"/>
        </w:rPr>
      </w:pPr>
    </w:p>
    <w:p w:rsidR="00D76CF5" w:rsidRPr="00D76CF5" w:rsidRDefault="00D76CF5" w:rsidP="00626F3D">
      <w:pPr>
        <w:spacing w:before="100" w:beforeAutospacing="1" w:after="100" w:afterAutospacing="1"/>
        <w:ind w:left="720"/>
        <w:rPr>
          <w:rFonts w:ascii="Times New Roman" w:eastAsia="Times New Roman" w:hAnsi="Times New Roman"/>
        </w:rPr>
      </w:pPr>
      <w:r>
        <w:rPr>
          <w:rFonts w:ascii="TimesNewRomanPSMT" w:eastAsia="Times New Roman" w:hAnsi="TimesNewRomanPSMT"/>
          <w:b/>
          <w:color w:val="231F20"/>
        </w:rPr>
        <w:t xml:space="preserve">Action Taken:  </w:t>
      </w:r>
      <w:r>
        <w:rPr>
          <w:rFonts w:ascii="TimesNewRomanPSMT" w:eastAsia="Times New Roman" w:hAnsi="TimesNewRomanPSMT"/>
          <w:color w:val="231F20"/>
        </w:rPr>
        <w:t xml:space="preserve">We have drafted policies to address the treatment of unallowable costs.  </w:t>
      </w:r>
      <w:r w:rsidRPr="00D76CF5">
        <w:rPr>
          <w:rFonts w:ascii="Times New Roman" w:eastAsia="Times New Roman" w:hAnsi="Times New Roman"/>
        </w:rPr>
        <w:t xml:space="preserve">The purpose of this policy is to establish guidelines for defining and identifying costs that are unallowable for reimbursement from the Federal government and other external sponsors.  Lincoln University adheres to the Federal Office of Management and Budget Uniform Guidance </w:t>
      </w:r>
      <w:r>
        <w:rPr>
          <w:rFonts w:ascii="Times New Roman" w:eastAsia="Times New Roman" w:hAnsi="Times New Roman"/>
        </w:rPr>
        <w:t xml:space="preserve">and </w:t>
      </w:r>
      <w:r w:rsidRPr="00D76CF5">
        <w:rPr>
          <w:rFonts w:ascii="Times New Roman" w:eastAsia="Times New Roman" w:hAnsi="Times New Roman"/>
        </w:rPr>
        <w:t xml:space="preserve">other applicable government regulations as well as sponsor terms and conditions in </w:t>
      </w:r>
      <w:r>
        <w:rPr>
          <w:rFonts w:ascii="Times New Roman" w:eastAsia="Times New Roman" w:hAnsi="Times New Roman"/>
        </w:rPr>
        <w:t xml:space="preserve">accounting for unallowable </w:t>
      </w:r>
      <w:r w:rsidR="003E0CFC">
        <w:rPr>
          <w:rFonts w:ascii="Times New Roman" w:eastAsia="Times New Roman" w:hAnsi="Times New Roman"/>
        </w:rPr>
        <w:t>cost</w:t>
      </w:r>
      <w:r w:rsidR="003E0CFC" w:rsidRPr="00D76CF5">
        <w:rPr>
          <w:rFonts w:ascii="Times New Roman" w:eastAsia="Times New Roman" w:hAnsi="Times New Roman"/>
        </w:rPr>
        <w:t>.</w:t>
      </w:r>
    </w:p>
    <w:p w:rsidR="00D76CF5" w:rsidRDefault="00D76CF5" w:rsidP="00D76CF5">
      <w:pPr>
        <w:autoSpaceDE w:val="0"/>
        <w:autoSpaceDN w:val="0"/>
        <w:rPr>
          <w:rFonts w:ascii="TimesNewRomanPSMT" w:eastAsia="Times New Roman" w:hAnsi="TimesNewRomanPSMT"/>
          <w:color w:val="231F20"/>
        </w:rPr>
      </w:pPr>
    </w:p>
    <w:p w:rsidR="00D76CF5" w:rsidRPr="009B4320" w:rsidRDefault="00D76CF5" w:rsidP="00626F3D">
      <w:pPr>
        <w:autoSpaceDE w:val="0"/>
        <w:autoSpaceDN w:val="0"/>
        <w:ind w:left="720"/>
        <w:rPr>
          <w:rFonts w:ascii="TimesNewRomanPSMT" w:eastAsia="Times New Roman" w:hAnsi="TimesNewRomanPSMT"/>
          <w:color w:val="231F20"/>
        </w:rPr>
      </w:pPr>
      <w:r>
        <w:rPr>
          <w:rFonts w:ascii="TimesNewRomanPSMT" w:eastAsia="Times New Roman" w:hAnsi="TimesNewRomanPSMT"/>
          <w:b/>
          <w:color w:val="231F20"/>
        </w:rPr>
        <w:t>When:</w:t>
      </w:r>
      <w:r>
        <w:rPr>
          <w:rFonts w:ascii="TimesNewRomanPSMT" w:eastAsia="Times New Roman" w:hAnsi="TimesNewRomanPSMT"/>
          <w:color w:val="231F20"/>
        </w:rPr>
        <w:t xml:space="preserve">  The new policy was drafted in </w:t>
      </w:r>
      <w:r w:rsidR="00D001FE">
        <w:rPr>
          <w:rFonts w:ascii="TimesNewRomanPSMT" w:eastAsia="Times New Roman" w:hAnsi="TimesNewRomanPSMT"/>
          <w:color w:val="231F20"/>
        </w:rPr>
        <w:t>December</w:t>
      </w:r>
      <w:r>
        <w:rPr>
          <w:rFonts w:ascii="TimesNewRomanPSMT" w:eastAsia="Times New Roman" w:hAnsi="TimesNewRomanPSMT"/>
          <w:color w:val="231F20"/>
        </w:rPr>
        <w:t>, 201</w:t>
      </w:r>
      <w:r w:rsidR="00D001FE">
        <w:rPr>
          <w:rFonts w:ascii="TimesNewRomanPSMT" w:eastAsia="Times New Roman" w:hAnsi="TimesNewRomanPSMT"/>
          <w:color w:val="231F20"/>
        </w:rPr>
        <w:t>7</w:t>
      </w:r>
      <w:r>
        <w:rPr>
          <w:rFonts w:ascii="TimesNewRomanPSMT" w:eastAsia="Times New Roman" w:hAnsi="TimesNewRomanPSMT"/>
          <w:color w:val="231F20"/>
        </w:rPr>
        <w:t xml:space="preserve">.  It is anticipated that the new policy will be made actionable and official once the Administration and the Board of Trustees have accepted and ratified the policy and procedures manual.  Again, we anticipate this happening within the 2018 calendar year.  </w:t>
      </w:r>
    </w:p>
    <w:p w:rsidR="00D76CF5" w:rsidRDefault="00D76CF5" w:rsidP="00D76CF5">
      <w:pPr>
        <w:autoSpaceDE w:val="0"/>
        <w:autoSpaceDN w:val="0"/>
        <w:rPr>
          <w:rFonts w:ascii="TimesNewRomanPSMT" w:hAnsi="TimesNewRomanPSMT"/>
          <w:color w:val="231F20"/>
        </w:rPr>
      </w:pPr>
    </w:p>
    <w:p w:rsidR="00D76CF5" w:rsidRPr="009B4320" w:rsidRDefault="00D76CF5" w:rsidP="00626F3D">
      <w:pPr>
        <w:autoSpaceDE w:val="0"/>
        <w:autoSpaceDN w:val="0"/>
        <w:ind w:left="720"/>
        <w:rPr>
          <w:rFonts w:ascii="TimesNewRomanPSMT" w:hAnsi="TimesNewRomanPSMT"/>
          <w:color w:val="231F20"/>
        </w:rPr>
      </w:pPr>
      <w:r>
        <w:rPr>
          <w:rFonts w:ascii="TimesNewRomanPSMT" w:hAnsi="TimesNewRomanPSMT"/>
          <w:b/>
          <w:color w:val="231F20"/>
        </w:rPr>
        <w:t>Supporting Documentation:</w:t>
      </w:r>
      <w:r>
        <w:rPr>
          <w:rFonts w:ascii="TimesNewRomanPSMT" w:hAnsi="TimesNewRomanPSMT"/>
          <w:color w:val="231F20"/>
        </w:rPr>
        <w:t xml:space="preserve">  Draft policies can be submitte</w:t>
      </w:r>
      <w:r w:rsidR="00C918E6">
        <w:rPr>
          <w:rFonts w:ascii="TimesNewRomanPSMT" w:hAnsi="TimesNewRomanPSMT"/>
          <w:color w:val="231F20"/>
        </w:rPr>
        <w:t xml:space="preserve">d upon request </w:t>
      </w:r>
      <w:r>
        <w:rPr>
          <w:rFonts w:ascii="TimesNewRomanPSMT" w:hAnsi="TimesNewRomanPSMT"/>
          <w:color w:val="231F20"/>
        </w:rPr>
        <w:t xml:space="preserve">however, please note that these policies are only draft and are not actionable until approved by the Administration (President, Provost, and VP for Fiscal Affairs) and the Board of Trustees. </w:t>
      </w:r>
    </w:p>
    <w:p w:rsidR="00D76CF5" w:rsidRDefault="00D76CF5" w:rsidP="00D76CF5">
      <w:pPr>
        <w:autoSpaceDE w:val="0"/>
        <w:autoSpaceDN w:val="0"/>
        <w:rPr>
          <w:rFonts w:ascii="Times New Roman" w:eastAsia="Times New Roman" w:hAnsi="Times New Roman"/>
          <w:color w:val="221E1F"/>
        </w:rPr>
      </w:pPr>
    </w:p>
    <w:p w:rsidR="00B51212" w:rsidRDefault="00B51212" w:rsidP="00B51212">
      <w:pPr>
        <w:autoSpaceDE w:val="0"/>
        <w:autoSpaceDN w:val="0"/>
        <w:rPr>
          <w:rFonts w:ascii="BookAntiqua" w:hAnsi="BookAntiqua"/>
          <w:color w:val="221E1F"/>
        </w:rPr>
      </w:pPr>
    </w:p>
    <w:p w:rsidR="00B51212" w:rsidRPr="00626F3D" w:rsidRDefault="00D76CF5" w:rsidP="00626F3D">
      <w:pPr>
        <w:pStyle w:val="ListParagraph"/>
        <w:numPr>
          <w:ilvl w:val="0"/>
          <w:numId w:val="17"/>
        </w:numPr>
        <w:autoSpaceDE w:val="0"/>
        <w:autoSpaceDN w:val="0"/>
        <w:rPr>
          <w:rFonts w:ascii="TimesNewRomanPSMT" w:eastAsia="Times New Roman" w:hAnsi="TimesNewRomanPSMT"/>
          <w:color w:val="231F20"/>
        </w:rPr>
      </w:pPr>
      <w:r w:rsidRPr="00626F3D">
        <w:rPr>
          <w:rFonts w:ascii="TimesNewRomanPSMT" w:eastAsia="Times New Roman" w:hAnsi="TimesNewRomanPSMT"/>
          <w:b/>
          <w:color w:val="231F20"/>
        </w:rPr>
        <w:t xml:space="preserve">Concern: </w:t>
      </w:r>
      <w:r w:rsidR="00B51212" w:rsidRPr="00626F3D">
        <w:rPr>
          <w:rFonts w:ascii="TimesNewRomanPSMT" w:eastAsia="Times New Roman" w:hAnsi="TimesNewRomanPSMT"/>
          <w:color w:val="231F20"/>
        </w:rPr>
        <w:t>Although LU articulated good practices for budget and expenditure monitoring, LU has not prepared policies and procedures in writing to support those practices.</w:t>
      </w:r>
    </w:p>
    <w:p w:rsidR="00D76CF5" w:rsidRPr="00D76CF5" w:rsidRDefault="00D76CF5" w:rsidP="00626F3D">
      <w:pPr>
        <w:spacing w:before="100" w:beforeAutospacing="1" w:after="100" w:afterAutospacing="1"/>
        <w:ind w:left="720"/>
        <w:rPr>
          <w:rFonts w:ascii="Times New Roman" w:eastAsia="Times New Roman" w:hAnsi="Times New Roman"/>
        </w:rPr>
      </w:pPr>
      <w:r>
        <w:rPr>
          <w:rFonts w:ascii="TimesNewRomanPSMT" w:eastAsia="Times New Roman" w:hAnsi="TimesNewRomanPSMT"/>
          <w:b/>
          <w:color w:val="231F20"/>
        </w:rPr>
        <w:t xml:space="preserve">Action Taken:  </w:t>
      </w:r>
      <w:r w:rsidR="00626F3D">
        <w:rPr>
          <w:rFonts w:ascii="TimesNewRomanPSMT" w:eastAsia="Times New Roman" w:hAnsi="TimesNewRomanPSMT"/>
          <w:color w:val="231F20"/>
        </w:rPr>
        <w:t>W</w:t>
      </w:r>
      <w:r>
        <w:rPr>
          <w:rFonts w:ascii="TimesNewRomanPSMT" w:eastAsia="Times New Roman" w:hAnsi="TimesNewRomanPSMT"/>
          <w:color w:val="231F20"/>
        </w:rPr>
        <w:t xml:space="preserve">e are currently drafting policies to address budget and expenditure monitoring.  </w:t>
      </w:r>
      <w:r w:rsidRPr="00D76CF5">
        <w:rPr>
          <w:rFonts w:ascii="Times New Roman" w:eastAsia="Times New Roman" w:hAnsi="Times New Roman"/>
        </w:rPr>
        <w:t xml:space="preserve">Lincoln University adheres to the Federal Office of Management and Budget Uniform Guidance </w:t>
      </w:r>
      <w:r w:rsidR="00626F3D">
        <w:rPr>
          <w:rFonts w:ascii="Times New Roman" w:eastAsia="Times New Roman" w:hAnsi="Times New Roman"/>
        </w:rPr>
        <w:t xml:space="preserve">(2 CFR 200) </w:t>
      </w:r>
      <w:r>
        <w:rPr>
          <w:rFonts w:ascii="Times New Roman" w:eastAsia="Times New Roman" w:hAnsi="Times New Roman"/>
        </w:rPr>
        <w:t xml:space="preserve">and </w:t>
      </w:r>
      <w:r w:rsidRPr="00D76CF5">
        <w:rPr>
          <w:rFonts w:ascii="Times New Roman" w:eastAsia="Times New Roman" w:hAnsi="Times New Roman"/>
        </w:rPr>
        <w:t>other applicable government regulations as well as</w:t>
      </w:r>
      <w:r w:rsidR="00626F3D">
        <w:rPr>
          <w:rFonts w:ascii="Times New Roman" w:eastAsia="Times New Roman" w:hAnsi="Times New Roman"/>
        </w:rPr>
        <w:t xml:space="preserve"> sponsor terms and conditions in monitoring budgets and expenditures on sponsored programs</w:t>
      </w:r>
      <w:r w:rsidRPr="00D76CF5">
        <w:rPr>
          <w:rFonts w:ascii="Times New Roman" w:eastAsia="Times New Roman" w:hAnsi="Times New Roman"/>
        </w:rPr>
        <w:t>.</w:t>
      </w:r>
    </w:p>
    <w:p w:rsidR="00D76CF5" w:rsidRPr="009B4320" w:rsidRDefault="00D76CF5" w:rsidP="00626F3D">
      <w:pPr>
        <w:autoSpaceDE w:val="0"/>
        <w:autoSpaceDN w:val="0"/>
        <w:ind w:left="720"/>
        <w:rPr>
          <w:rFonts w:ascii="TimesNewRomanPSMT" w:eastAsia="Times New Roman" w:hAnsi="TimesNewRomanPSMT"/>
          <w:color w:val="231F20"/>
        </w:rPr>
      </w:pPr>
      <w:r>
        <w:rPr>
          <w:rFonts w:ascii="TimesNewRomanPSMT" w:eastAsia="Times New Roman" w:hAnsi="TimesNewRomanPSMT"/>
          <w:b/>
          <w:color w:val="231F20"/>
        </w:rPr>
        <w:t>When:</w:t>
      </w:r>
      <w:r>
        <w:rPr>
          <w:rFonts w:ascii="TimesNewRomanPSMT" w:eastAsia="Times New Roman" w:hAnsi="TimesNewRomanPSMT"/>
          <w:color w:val="231F20"/>
        </w:rPr>
        <w:t xml:space="preserve">  </w:t>
      </w:r>
      <w:r w:rsidR="00626F3D">
        <w:rPr>
          <w:rFonts w:ascii="TimesNewRomanPSMT" w:eastAsia="Times New Roman" w:hAnsi="TimesNewRomanPSMT"/>
          <w:color w:val="231F20"/>
        </w:rPr>
        <w:t>We a</w:t>
      </w:r>
      <w:r>
        <w:rPr>
          <w:rFonts w:ascii="TimesNewRomanPSMT" w:eastAsia="Times New Roman" w:hAnsi="TimesNewRomanPSMT"/>
          <w:color w:val="231F20"/>
        </w:rPr>
        <w:t xml:space="preserve">nticipate </w:t>
      </w:r>
      <w:r w:rsidR="00626F3D">
        <w:rPr>
          <w:rFonts w:ascii="TimesNewRomanPSMT" w:eastAsia="Times New Roman" w:hAnsi="TimesNewRomanPSMT"/>
          <w:color w:val="231F20"/>
        </w:rPr>
        <w:t>these policies and procedures drafted and approved</w:t>
      </w:r>
      <w:r>
        <w:rPr>
          <w:rFonts w:ascii="TimesNewRomanPSMT" w:eastAsia="Times New Roman" w:hAnsi="TimesNewRomanPSMT"/>
          <w:color w:val="231F20"/>
        </w:rPr>
        <w:t xml:space="preserve"> within the 2018 calendar year.  </w:t>
      </w:r>
    </w:p>
    <w:p w:rsidR="00D76CF5" w:rsidRDefault="00D76CF5" w:rsidP="00D76CF5">
      <w:pPr>
        <w:autoSpaceDE w:val="0"/>
        <w:autoSpaceDN w:val="0"/>
        <w:rPr>
          <w:rFonts w:ascii="TimesNewRomanPSMT" w:hAnsi="TimesNewRomanPSMT"/>
          <w:color w:val="231F20"/>
        </w:rPr>
      </w:pPr>
    </w:p>
    <w:p w:rsidR="00D76CF5" w:rsidRPr="009B4320" w:rsidRDefault="00D76CF5" w:rsidP="00626F3D">
      <w:pPr>
        <w:autoSpaceDE w:val="0"/>
        <w:autoSpaceDN w:val="0"/>
        <w:ind w:firstLine="720"/>
        <w:rPr>
          <w:rFonts w:ascii="TimesNewRomanPSMT" w:hAnsi="TimesNewRomanPSMT"/>
          <w:color w:val="231F20"/>
        </w:rPr>
      </w:pPr>
      <w:proofErr w:type="gramStart"/>
      <w:r>
        <w:rPr>
          <w:rFonts w:ascii="TimesNewRomanPSMT" w:hAnsi="TimesNewRomanPSMT"/>
          <w:b/>
          <w:color w:val="231F20"/>
        </w:rPr>
        <w:t>Supporting Documentation:</w:t>
      </w:r>
      <w:r w:rsidR="00D001FE">
        <w:rPr>
          <w:rFonts w:ascii="TimesNewRomanPSMT" w:hAnsi="TimesNewRomanPSMT"/>
          <w:color w:val="231F20"/>
        </w:rPr>
        <w:t xml:space="preserve"> </w:t>
      </w:r>
      <w:r>
        <w:rPr>
          <w:rFonts w:ascii="TimesNewRomanPSMT" w:hAnsi="TimesNewRomanPSMT"/>
          <w:color w:val="231F20"/>
        </w:rPr>
        <w:t>Draft polic</w:t>
      </w:r>
      <w:r w:rsidR="00D001FE">
        <w:rPr>
          <w:rFonts w:ascii="TimesNewRomanPSMT" w:hAnsi="TimesNewRomanPSMT"/>
          <w:color w:val="231F20"/>
        </w:rPr>
        <w:t>y</w:t>
      </w:r>
      <w:r>
        <w:rPr>
          <w:rFonts w:ascii="TimesNewRomanPSMT" w:hAnsi="TimesNewRomanPSMT"/>
          <w:color w:val="231F20"/>
        </w:rPr>
        <w:t xml:space="preserve"> </w:t>
      </w:r>
      <w:r w:rsidR="00626F3D">
        <w:rPr>
          <w:rFonts w:ascii="TimesNewRomanPSMT" w:hAnsi="TimesNewRomanPSMT"/>
          <w:color w:val="231F20"/>
        </w:rPr>
        <w:t xml:space="preserve">can be provided after being </w:t>
      </w:r>
      <w:r w:rsidR="00D001FE">
        <w:rPr>
          <w:rFonts w:ascii="TimesNewRomanPSMT" w:hAnsi="TimesNewRomanPSMT"/>
          <w:color w:val="231F20"/>
        </w:rPr>
        <w:t>written</w:t>
      </w:r>
      <w:r>
        <w:rPr>
          <w:rFonts w:ascii="TimesNewRomanPSMT" w:hAnsi="TimesNewRomanPSMT"/>
          <w:color w:val="231F20"/>
        </w:rPr>
        <w:t>.</w:t>
      </w:r>
      <w:proofErr w:type="gramEnd"/>
      <w:r>
        <w:rPr>
          <w:rFonts w:ascii="TimesNewRomanPSMT" w:hAnsi="TimesNewRomanPSMT"/>
          <w:color w:val="231F20"/>
        </w:rPr>
        <w:t xml:space="preserve"> </w:t>
      </w:r>
    </w:p>
    <w:p w:rsidR="00D76CF5" w:rsidRDefault="00D76CF5" w:rsidP="00D76CF5">
      <w:pPr>
        <w:autoSpaceDE w:val="0"/>
        <w:autoSpaceDN w:val="0"/>
        <w:rPr>
          <w:rFonts w:ascii="TimesNewRomanPSMT" w:eastAsia="Times New Roman" w:hAnsi="TimesNewRomanPSMT"/>
          <w:color w:val="231F20"/>
        </w:rPr>
      </w:pPr>
    </w:p>
    <w:p w:rsidR="00B51212" w:rsidRDefault="00B51212" w:rsidP="00B51212">
      <w:pPr>
        <w:autoSpaceDE w:val="0"/>
        <w:autoSpaceDN w:val="0"/>
        <w:rPr>
          <w:rFonts w:ascii="TimesNewRomanPSMT" w:hAnsi="TimesNewRomanPSMT"/>
          <w:color w:val="231F20"/>
        </w:rPr>
      </w:pPr>
    </w:p>
    <w:p w:rsidR="00B51212" w:rsidRDefault="00626F3D" w:rsidP="00626F3D">
      <w:pPr>
        <w:pStyle w:val="ListParagraph"/>
        <w:numPr>
          <w:ilvl w:val="0"/>
          <w:numId w:val="17"/>
        </w:numPr>
        <w:autoSpaceDE w:val="0"/>
        <w:autoSpaceDN w:val="0"/>
        <w:rPr>
          <w:rFonts w:ascii="TimesNewRomanPSMT" w:eastAsia="Times New Roman" w:hAnsi="TimesNewRomanPSMT"/>
          <w:color w:val="231F20"/>
        </w:rPr>
      </w:pPr>
      <w:r w:rsidRPr="00626F3D">
        <w:rPr>
          <w:rFonts w:ascii="TimesNewRomanPSMT" w:eastAsia="Times New Roman" w:hAnsi="TimesNewRomanPSMT"/>
          <w:b/>
          <w:color w:val="231F20"/>
        </w:rPr>
        <w:t xml:space="preserve">Concern: </w:t>
      </w:r>
      <w:r w:rsidR="00B51212" w:rsidRPr="00626F3D">
        <w:rPr>
          <w:rFonts w:ascii="TimesNewRomanPSMT" w:eastAsia="Times New Roman" w:hAnsi="TimesNewRomanPSMT"/>
          <w:color w:val="231F20"/>
        </w:rPr>
        <w:t xml:space="preserve">LU has established guidelines and standards to assist employees responsible for administering NSF-funded awards in determining the reasonableness, allocability, and allowability of costs charged to federally-funded awards, however, it does not maintain a list of common unallowable costs. Instead, LU refers employees to the Office of Management and Budget (OMB) Circular A-21, a practice that may not provide </w:t>
      </w:r>
      <w:r w:rsidR="00B51212" w:rsidRPr="00626F3D">
        <w:rPr>
          <w:rFonts w:ascii="TimesNewRomanPSMT" w:eastAsia="Times New Roman" w:hAnsi="TimesNewRomanPSMT"/>
          <w:color w:val="231F20"/>
        </w:rPr>
        <w:lastRenderedPageBreak/>
        <w:t>sufficient guidance to ensure that unallowable costs are identified. In addition, OMB Circular A-21 has been superseded by 2 CFR 200, the Uniform Guidance. Relying on outdated regulations may result in inconsistent or inaccurate recording of unallowable costs and could result in unallowable charges being charged to NSF-funded projects.</w:t>
      </w:r>
    </w:p>
    <w:p w:rsidR="00626F3D" w:rsidRDefault="00626F3D" w:rsidP="00626F3D">
      <w:pPr>
        <w:autoSpaceDE w:val="0"/>
        <w:autoSpaceDN w:val="0"/>
        <w:rPr>
          <w:rFonts w:ascii="TimesNewRomanPSMT" w:eastAsia="Times New Roman" w:hAnsi="TimesNewRomanPSMT"/>
          <w:color w:val="231F20"/>
        </w:rPr>
      </w:pPr>
    </w:p>
    <w:p w:rsidR="00410650" w:rsidRPr="00410650" w:rsidRDefault="00626F3D" w:rsidP="00410650">
      <w:pPr>
        <w:spacing w:before="100" w:beforeAutospacing="1" w:after="100" w:afterAutospacing="1"/>
        <w:ind w:left="720"/>
        <w:rPr>
          <w:rFonts w:ascii="Times New Roman" w:eastAsia="Times New Roman" w:hAnsi="Times New Roman"/>
        </w:rPr>
      </w:pPr>
      <w:r>
        <w:rPr>
          <w:rFonts w:ascii="TimesNewRomanPSMT" w:eastAsia="Times New Roman" w:hAnsi="TimesNewRomanPSMT"/>
          <w:b/>
          <w:color w:val="231F20"/>
        </w:rPr>
        <w:t xml:space="preserve">Action Taken:  </w:t>
      </w:r>
      <w:r>
        <w:rPr>
          <w:rFonts w:ascii="TimesNewRomanPSMT" w:eastAsia="Times New Roman" w:hAnsi="TimesNewRomanPSMT"/>
          <w:color w:val="231F20"/>
        </w:rPr>
        <w:t xml:space="preserve">Lincoln University maintains a list of common unallowable costs.  We have drafted policies to provide </w:t>
      </w:r>
      <w:r w:rsidR="00410650">
        <w:rPr>
          <w:rFonts w:ascii="TimesNewRomanPSMT" w:eastAsia="Times New Roman" w:hAnsi="TimesNewRomanPSMT"/>
          <w:color w:val="231F20"/>
        </w:rPr>
        <w:t>sufficient guidance to ensure that</w:t>
      </w:r>
      <w:r>
        <w:rPr>
          <w:rFonts w:ascii="TimesNewRomanPSMT" w:eastAsia="Times New Roman" w:hAnsi="TimesNewRomanPSMT"/>
          <w:color w:val="231F20"/>
        </w:rPr>
        <w:t xml:space="preserve"> unallowable costs</w:t>
      </w:r>
      <w:r w:rsidR="00410650">
        <w:rPr>
          <w:rFonts w:ascii="TimesNewRomanPSMT" w:eastAsia="Times New Roman" w:hAnsi="TimesNewRomanPSMT"/>
          <w:color w:val="231F20"/>
        </w:rPr>
        <w:t xml:space="preserve"> are identified</w:t>
      </w:r>
      <w:r>
        <w:rPr>
          <w:rFonts w:ascii="TimesNewRomanPSMT" w:eastAsia="Times New Roman" w:hAnsi="TimesNewRomanPSMT"/>
          <w:color w:val="231F20"/>
        </w:rPr>
        <w:t xml:space="preserve">.  </w:t>
      </w:r>
      <w:r w:rsidR="00410650" w:rsidRPr="00410650">
        <w:rPr>
          <w:rFonts w:ascii="Times New Roman" w:eastAsia="Times New Roman" w:hAnsi="Times New Roman"/>
        </w:rPr>
        <w:t>The purpose of this policy is to provide guidance to PI's, colleges, departments, units and personnel of the University for proposing and administering direct and indirect costs on sponsored projects, in accordance with Federal or other sponsor requirements.</w:t>
      </w:r>
    </w:p>
    <w:p w:rsidR="00626F3D" w:rsidRPr="009B4320" w:rsidRDefault="00626F3D" w:rsidP="00626F3D">
      <w:pPr>
        <w:autoSpaceDE w:val="0"/>
        <w:autoSpaceDN w:val="0"/>
        <w:ind w:left="720"/>
        <w:rPr>
          <w:rFonts w:ascii="TimesNewRomanPSMT" w:eastAsia="Times New Roman" w:hAnsi="TimesNewRomanPSMT"/>
          <w:color w:val="231F20"/>
        </w:rPr>
      </w:pPr>
      <w:r>
        <w:rPr>
          <w:rFonts w:ascii="TimesNewRomanPSMT" w:eastAsia="Times New Roman" w:hAnsi="TimesNewRomanPSMT"/>
          <w:b/>
          <w:color w:val="231F20"/>
        </w:rPr>
        <w:t>When:</w:t>
      </w:r>
      <w:r>
        <w:rPr>
          <w:rFonts w:ascii="TimesNewRomanPSMT" w:eastAsia="Times New Roman" w:hAnsi="TimesNewRomanPSMT"/>
          <w:color w:val="231F20"/>
        </w:rPr>
        <w:t xml:space="preserve">  The new policy was drafted in </w:t>
      </w:r>
      <w:r w:rsidR="00D001FE">
        <w:rPr>
          <w:rFonts w:ascii="TimesNewRomanPSMT" w:eastAsia="Times New Roman" w:hAnsi="TimesNewRomanPSMT"/>
          <w:color w:val="231F20"/>
        </w:rPr>
        <w:t>December</w:t>
      </w:r>
      <w:r>
        <w:rPr>
          <w:rFonts w:ascii="TimesNewRomanPSMT" w:eastAsia="Times New Roman" w:hAnsi="TimesNewRomanPSMT"/>
          <w:color w:val="231F20"/>
        </w:rPr>
        <w:t>, 201</w:t>
      </w:r>
      <w:r w:rsidR="00D001FE">
        <w:rPr>
          <w:rFonts w:ascii="TimesNewRomanPSMT" w:eastAsia="Times New Roman" w:hAnsi="TimesNewRomanPSMT"/>
          <w:color w:val="231F20"/>
        </w:rPr>
        <w:t>7</w:t>
      </w:r>
      <w:r>
        <w:rPr>
          <w:rFonts w:ascii="TimesNewRomanPSMT" w:eastAsia="Times New Roman" w:hAnsi="TimesNewRomanPSMT"/>
          <w:color w:val="231F20"/>
        </w:rPr>
        <w:t xml:space="preserve">.  It is anticipated that the new policy will be made actionable and official once the Administration and the Board of Trustees have accepted and ratified the policy and procedures manual.  Again, we anticipate this happening within the 2018 calendar year.  </w:t>
      </w:r>
    </w:p>
    <w:p w:rsidR="00626F3D" w:rsidRDefault="00626F3D" w:rsidP="00626F3D">
      <w:pPr>
        <w:autoSpaceDE w:val="0"/>
        <w:autoSpaceDN w:val="0"/>
        <w:rPr>
          <w:rFonts w:ascii="TimesNewRomanPSMT" w:hAnsi="TimesNewRomanPSMT"/>
          <w:color w:val="231F20"/>
        </w:rPr>
      </w:pPr>
    </w:p>
    <w:p w:rsidR="00626F3D" w:rsidRPr="009B4320" w:rsidRDefault="00626F3D" w:rsidP="00626F3D">
      <w:pPr>
        <w:autoSpaceDE w:val="0"/>
        <w:autoSpaceDN w:val="0"/>
        <w:ind w:left="720"/>
        <w:rPr>
          <w:rFonts w:ascii="TimesNewRomanPSMT" w:hAnsi="TimesNewRomanPSMT"/>
          <w:color w:val="231F20"/>
        </w:rPr>
      </w:pPr>
      <w:r>
        <w:rPr>
          <w:rFonts w:ascii="TimesNewRomanPSMT" w:hAnsi="TimesNewRomanPSMT"/>
          <w:b/>
          <w:color w:val="231F20"/>
        </w:rPr>
        <w:t>Supporting Documentation:</w:t>
      </w:r>
      <w:r>
        <w:rPr>
          <w:rFonts w:ascii="TimesNewRomanPSMT" w:hAnsi="TimesNewRomanPSMT"/>
          <w:color w:val="231F20"/>
        </w:rPr>
        <w:t xml:space="preserve">  Draft policies can be submitte</w:t>
      </w:r>
      <w:r w:rsidR="00410650">
        <w:rPr>
          <w:rFonts w:ascii="TimesNewRomanPSMT" w:hAnsi="TimesNewRomanPSMT"/>
          <w:color w:val="231F20"/>
        </w:rPr>
        <w:t>d upon request</w:t>
      </w:r>
      <w:r>
        <w:rPr>
          <w:rFonts w:ascii="TimesNewRomanPSMT" w:hAnsi="TimesNewRomanPSMT"/>
          <w:color w:val="231F20"/>
        </w:rPr>
        <w:t xml:space="preserve"> however, please note that these policies are only draft and are not actionable until approved by the Administration (President, Provost, and VP for Fiscal Affairs) and the Board of Trustees. </w:t>
      </w:r>
    </w:p>
    <w:p w:rsidR="00626F3D" w:rsidRPr="00626F3D" w:rsidRDefault="00626F3D" w:rsidP="00626F3D">
      <w:pPr>
        <w:autoSpaceDE w:val="0"/>
        <w:autoSpaceDN w:val="0"/>
        <w:rPr>
          <w:rFonts w:ascii="TimesNewRomanPSMT" w:eastAsia="Times New Roman" w:hAnsi="TimesNewRomanPSMT"/>
          <w:color w:val="231F20"/>
        </w:rPr>
      </w:pPr>
    </w:p>
    <w:p w:rsidR="00B51212" w:rsidRDefault="00B51212" w:rsidP="00B51212">
      <w:pPr>
        <w:autoSpaceDE w:val="0"/>
        <w:autoSpaceDN w:val="0"/>
        <w:rPr>
          <w:rFonts w:ascii="TimesNewRomanPSMT" w:hAnsi="TimesNewRomanPSMT"/>
          <w:color w:val="231F20"/>
        </w:rPr>
      </w:pPr>
    </w:p>
    <w:p w:rsidR="00B51212" w:rsidRDefault="00410650" w:rsidP="0098642E">
      <w:pPr>
        <w:pStyle w:val="ListParagraph"/>
        <w:numPr>
          <w:ilvl w:val="0"/>
          <w:numId w:val="14"/>
        </w:numPr>
        <w:autoSpaceDE w:val="0"/>
        <w:autoSpaceDN w:val="0"/>
        <w:rPr>
          <w:rFonts w:ascii="TimesNewRomanPSMT" w:eastAsia="Times New Roman" w:hAnsi="TimesNewRomanPSMT"/>
          <w:color w:val="231F20"/>
        </w:rPr>
      </w:pPr>
      <w:r>
        <w:rPr>
          <w:rFonts w:ascii="TimesNewRomanPSMT" w:eastAsia="Times New Roman" w:hAnsi="TimesNewRomanPSMT"/>
          <w:b/>
          <w:color w:val="231F20"/>
        </w:rPr>
        <w:t xml:space="preserve">Concern: </w:t>
      </w:r>
      <w:r w:rsidR="00B51212" w:rsidRPr="00410650">
        <w:rPr>
          <w:rFonts w:ascii="TimesNewRomanPSMT" w:eastAsia="Times New Roman" w:hAnsi="TimesNewRomanPSMT"/>
          <w:color w:val="231F20"/>
        </w:rPr>
        <w:t>LU's record retention schedule requires that grant-related documentation be maintained for five years after the end of the grant or in compliance with sponsor requirements. This standard differs from federal regulations which require that award-related documents be retained for three years after the submission of the final expenditure report. Although unlikely, this practice may result in premature disposal of documents for projects for which the expenditure reports are not timely submitted.</w:t>
      </w:r>
    </w:p>
    <w:p w:rsidR="005F76F2" w:rsidRDefault="005F76F2" w:rsidP="0098642E">
      <w:pPr>
        <w:autoSpaceDE w:val="0"/>
        <w:autoSpaceDN w:val="0"/>
        <w:ind w:left="720"/>
        <w:rPr>
          <w:rFonts w:ascii="TimesNewRomanPSMT" w:eastAsia="Times New Roman" w:hAnsi="TimesNewRomanPSMT"/>
          <w:color w:val="231F20"/>
        </w:rPr>
      </w:pPr>
    </w:p>
    <w:p w:rsidR="005F76F2" w:rsidRDefault="005F76F2" w:rsidP="0098642E">
      <w:pPr>
        <w:ind w:left="720"/>
      </w:pPr>
      <w:r>
        <w:rPr>
          <w:rFonts w:ascii="TimesNewRomanPSMT" w:eastAsia="Times New Roman" w:hAnsi="TimesNewRomanPSMT"/>
          <w:b/>
          <w:color w:val="231F20"/>
        </w:rPr>
        <w:t xml:space="preserve">Action Taken:  </w:t>
      </w:r>
      <w:r w:rsidRPr="0098642E">
        <w:rPr>
          <w:rFonts w:ascii="Times New Roman" w:hAnsi="Times New Roman"/>
        </w:rPr>
        <w:t>Lincoln University is in the process of adopting a policy that all grant-related records and supporting documentation for Federal awards are retained in accordance with the Federal Office of Budget and Management Uniform Guidance (</w:t>
      </w:r>
      <w:hyperlink r:id="rId8" w:tgtFrame="_blank" w:history="1">
        <w:r w:rsidRPr="0098642E">
          <w:rPr>
            <w:rStyle w:val="Hyperlink"/>
            <w:rFonts w:ascii="Times New Roman" w:hAnsi="Times New Roman"/>
            <w:color w:val="auto"/>
            <w:u w:val="none"/>
          </w:rPr>
          <w:t>OMB Uniform Guidance</w:t>
        </w:r>
      </w:hyperlink>
      <w:r w:rsidRPr="0098642E">
        <w:rPr>
          <w:rFonts w:ascii="Times New Roman" w:hAnsi="Times New Roman"/>
        </w:rPr>
        <w:t>) unless a longer duration is required by the sponsor.  Federal regulations require that award related documents be retained for three (3) years after the submission of the final financial/expenditure report.</w:t>
      </w:r>
      <w:r>
        <w:t xml:space="preserve"> </w:t>
      </w:r>
    </w:p>
    <w:p w:rsidR="0098642E" w:rsidRDefault="0098642E" w:rsidP="0098642E">
      <w:pPr>
        <w:ind w:left="720"/>
        <w:rPr>
          <w:rFonts w:ascii="TimesNewRomanPSMT" w:eastAsia="Times New Roman" w:hAnsi="TimesNewRomanPSMT"/>
          <w:color w:val="231F20"/>
        </w:rPr>
      </w:pPr>
    </w:p>
    <w:p w:rsidR="005F76F2" w:rsidRPr="009B4320" w:rsidRDefault="005F76F2" w:rsidP="005F76F2">
      <w:pPr>
        <w:autoSpaceDE w:val="0"/>
        <w:autoSpaceDN w:val="0"/>
        <w:ind w:left="720"/>
        <w:rPr>
          <w:rFonts w:ascii="TimesNewRomanPSMT" w:eastAsia="Times New Roman" w:hAnsi="TimesNewRomanPSMT"/>
          <w:color w:val="231F20"/>
        </w:rPr>
      </w:pPr>
      <w:r>
        <w:rPr>
          <w:rFonts w:ascii="TimesNewRomanPSMT" w:eastAsia="Times New Roman" w:hAnsi="TimesNewRomanPSMT"/>
          <w:b/>
          <w:color w:val="231F20"/>
        </w:rPr>
        <w:t>When:</w:t>
      </w:r>
      <w:r>
        <w:rPr>
          <w:rFonts w:ascii="TimesNewRomanPSMT" w:eastAsia="Times New Roman" w:hAnsi="TimesNewRomanPSMT"/>
          <w:color w:val="231F20"/>
        </w:rPr>
        <w:t xml:space="preserve">  The new policy was drafted in </w:t>
      </w:r>
      <w:r w:rsidR="00D001FE">
        <w:rPr>
          <w:rFonts w:ascii="TimesNewRomanPSMT" w:eastAsia="Times New Roman" w:hAnsi="TimesNewRomanPSMT"/>
          <w:color w:val="231F20"/>
        </w:rPr>
        <w:t>December,</w:t>
      </w:r>
      <w:r>
        <w:rPr>
          <w:rFonts w:ascii="TimesNewRomanPSMT" w:eastAsia="Times New Roman" w:hAnsi="TimesNewRomanPSMT"/>
          <w:color w:val="231F20"/>
        </w:rPr>
        <w:t xml:space="preserve"> 201</w:t>
      </w:r>
      <w:r w:rsidR="00D001FE">
        <w:rPr>
          <w:rFonts w:ascii="TimesNewRomanPSMT" w:eastAsia="Times New Roman" w:hAnsi="TimesNewRomanPSMT"/>
          <w:color w:val="231F20"/>
        </w:rPr>
        <w:t>7</w:t>
      </w:r>
      <w:r>
        <w:rPr>
          <w:rFonts w:ascii="TimesNewRomanPSMT" w:eastAsia="Times New Roman" w:hAnsi="TimesNewRomanPSMT"/>
          <w:color w:val="231F20"/>
        </w:rPr>
        <w:t xml:space="preserve">.  It is anticipated that the new policy will be made actionable and official once the Administration and the Board of Trustees have accepted and ratified the policy and procedures manual.  Again, we anticipate this happening within the 2018 calendar year.  </w:t>
      </w:r>
    </w:p>
    <w:p w:rsidR="005F76F2" w:rsidRDefault="005F76F2" w:rsidP="005F76F2">
      <w:pPr>
        <w:autoSpaceDE w:val="0"/>
        <w:autoSpaceDN w:val="0"/>
        <w:rPr>
          <w:rFonts w:ascii="TimesNewRomanPSMT" w:hAnsi="TimesNewRomanPSMT"/>
          <w:color w:val="231F20"/>
        </w:rPr>
      </w:pPr>
    </w:p>
    <w:p w:rsidR="005F76F2" w:rsidRPr="005F76F2" w:rsidRDefault="005F76F2" w:rsidP="005F76F2">
      <w:pPr>
        <w:autoSpaceDE w:val="0"/>
        <w:autoSpaceDN w:val="0"/>
        <w:ind w:left="720"/>
        <w:rPr>
          <w:rFonts w:ascii="TimesNewRomanPSMT" w:eastAsia="Times New Roman" w:hAnsi="TimesNewRomanPSMT"/>
          <w:color w:val="231F20"/>
        </w:rPr>
      </w:pPr>
      <w:r>
        <w:rPr>
          <w:rFonts w:ascii="TimesNewRomanPSMT" w:hAnsi="TimesNewRomanPSMT"/>
          <w:b/>
          <w:color w:val="231F20"/>
        </w:rPr>
        <w:t>Supporting Documentation:</w:t>
      </w:r>
      <w:r>
        <w:rPr>
          <w:rFonts w:ascii="TimesNewRomanPSMT" w:hAnsi="TimesNewRomanPSMT"/>
          <w:color w:val="231F20"/>
        </w:rPr>
        <w:t xml:space="preserve">  Draft policies can be submitted upon request however, please note that these policies are only draft and are not actionable until approved by the Administration (President, Provost, and VP for Fiscal Affairs) and the Board of Trustees.</w:t>
      </w:r>
    </w:p>
    <w:p w:rsidR="00B51212" w:rsidRDefault="00B51212" w:rsidP="00B51212">
      <w:pPr>
        <w:autoSpaceDE w:val="0"/>
        <w:autoSpaceDN w:val="0"/>
        <w:rPr>
          <w:rFonts w:ascii="TimesNewRomanPSMT" w:hAnsi="TimesNewRomanPSMT"/>
          <w:color w:val="231F20"/>
        </w:rPr>
      </w:pPr>
    </w:p>
    <w:p w:rsidR="00B51212" w:rsidRDefault="00410650" w:rsidP="00B51212">
      <w:pPr>
        <w:numPr>
          <w:ilvl w:val="0"/>
          <w:numId w:val="14"/>
        </w:numPr>
        <w:rPr>
          <w:rFonts w:ascii="Times New Roman" w:eastAsia="Times New Roman" w:hAnsi="Times New Roman"/>
        </w:rPr>
      </w:pPr>
      <w:r>
        <w:rPr>
          <w:rFonts w:ascii="TimesNewRomanPSMT" w:eastAsia="Times New Roman" w:hAnsi="TimesNewRomanPSMT"/>
          <w:b/>
          <w:color w:val="231F20"/>
        </w:rPr>
        <w:lastRenderedPageBreak/>
        <w:t xml:space="preserve">Concern: </w:t>
      </w:r>
      <w:r w:rsidR="00B51212">
        <w:rPr>
          <w:rFonts w:ascii="TimesNewRomanPSMT" w:eastAsia="Times New Roman" w:hAnsi="TimesNewRomanPSMT"/>
          <w:color w:val="231F20"/>
        </w:rPr>
        <w:t>LU has prepared written guidance for calculating and completing ACM$ drawdowns. However, that guidance does not include information on the individuals responsible for preparing, approving, or processing those drawdowns.</w:t>
      </w:r>
    </w:p>
    <w:p w:rsidR="00B344E1" w:rsidRDefault="005F76F2" w:rsidP="00B344E1">
      <w:pPr>
        <w:pStyle w:val="Heading2"/>
        <w:ind w:left="360"/>
        <w:rPr>
          <w:rFonts w:ascii="TimesNewRomanPSMT" w:eastAsia="Times New Roman" w:hAnsi="TimesNewRomanPSMT"/>
          <w:color w:val="231F20"/>
        </w:rPr>
      </w:pPr>
      <w:r>
        <w:rPr>
          <w:rFonts w:ascii="TimesNewRomanPSMT" w:eastAsia="Times New Roman" w:hAnsi="TimesNewRomanPSMT"/>
          <w:color w:val="231F20"/>
        </w:rPr>
        <w:t>Action Taken:</w:t>
      </w:r>
      <w:r w:rsidR="00B344E1">
        <w:rPr>
          <w:rFonts w:ascii="TimesNewRomanPSMT" w:eastAsia="Times New Roman" w:hAnsi="TimesNewRomanPSMT"/>
          <w:b w:val="0"/>
          <w:color w:val="231F20"/>
        </w:rPr>
        <w:t xml:space="preserve"> </w:t>
      </w:r>
      <w:r w:rsidR="00B344E1" w:rsidRPr="00B344E1">
        <w:rPr>
          <w:rFonts w:ascii="TimesNewRomanPSMT" w:eastAsia="Times New Roman" w:hAnsi="TimesNewRomanPSMT"/>
          <w:b w:val="0"/>
          <w:color w:val="231F20"/>
        </w:rPr>
        <w:t xml:space="preserve"> </w:t>
      </w:r>
      <w:r w:rsidR="00B344E1" w:rsidRPr="00B344E1">
        <w:rPr>
          <w:rFonts w:ascii="TimesNewRomanPSMT" w:eastAsia="Times New Roman" w:hAnsi="TimesNewRomanPSMT"/>
          <w:b w:val="0"/>
          <w:color w:val="231F20"/>
        </w:rPr>
        <w:t>It is anticipated that the</w:t>
      </w:r>
      <w:r w:rsidR="00B344E1">
        <w:rPr>
          <w:rFonts w:ascii="TimesNewRomanPSMT" w:eastAsia="Times New Roman" w:hAnsi="TimesNewRomanPSMT"/>
          <w:b w:val="0"/>
          <w:color w:val="231F20"/>
        </w:rPr>
        <w:t xml:space="preserve"> University will modify an update its ACM$ policies and procedures with the</w:t>
      </w:r>
      <w:r w:rsidR="00B344E1" w:rsidRPr="00B344E1">
        <w:rPr>
          <w:rFonts w:ascii="TimesNewRomanPSMT" w:eastAsia="Times New Roman" w:hAnsi="TimesNewRomanPSMT"/>
          <w:b w:val="0"/>
          <w:color w:val="231F20"/>
        </w:rPr>
        <w:t xml:space="preserve"> new policy </w:t>
      </w:r>
      <w:r w:rsidR="00B344E1">
        <w:rPr>
          <w:rFonts w:ascii="TimesNewRomanPSMT" w:eastAsia="Times New Roman" w:hAnsi="TimesNewRomanPSMT"/>
          <w:b w:val="0"/>
          <w:color w:val="231F20"/>
        </w:rPr>
        <w:t>being</w:t>
      </w:r>
      <w:r w:rsidR="00B344E1" w:rsidRPr="00B344E1">
        <w:rPr>
          <w:rFonts w:ascii="TimesNewRomanPSMT" w:eastAsia="Times New Roman" w:hAnsi="TimesNewRomanPSMT"/>
          <w:b w:val="0"/>
          <w:color w:val="231F20"/>
        </w:rPr>
        <w:t xml:space="preserve"> made actionable and official once the Administration and the Board of Trustees have accepted and ratified the policy and procedures manual.  </w:t>
      </w:r>
      <w:r w:rsidR="007D5360">
        <w:rPr>
          <w:rFonts w:ascii="TimesNewRomanPSMT" w:eastAsia="Times New Roman" w:hAnsi="TimesNewRomanPSMT"/>
          <w:b w:val="0"/>
          <w:color w:val="231F20"/>
        </w:rPr>
        <w:t>W</w:t>
      </w:r>
      <w:r w:rsidR="00B344E1" w:rsidRPr="00B344E1">
        <w:rPr>
          <w:rFonts w:ascii="TimesNewRomanPSMT" w:eastAsia="Times New Roman" w:hAnsi="TimesNewRomanPSMT"/>
          <w:b w:val="0"/>
          <w:color w:val="231F20"/>
        </w:rPr>
        <w:t>e anticipate this happening within the 2018 calendar year.</w:t>
      </w:r>
      <w:r w:rsidR="00B344E1">
        <w:rPr>
          <w:rFonts w:ascii="TimesNewRomanPSMT" w:eastAsia="Times New Roman" w:hAnsi="TimesNewRomanPSMT"/>
          <w:color w:val="231F20"/>
        </w:rPr>
        <w:t xml:space="preserve"> </w:t>
      </w:r>
      <w:r w:rsidR="00B344E1">
        <w:rPr>
          <w:rFonts w:ascii="TimesNewRomanPSMT" w:eastAsia="Times New Roman" w:hAnsi="TimesNewRomanPSMT"/>
          <w:b w:val="0"/>
          <w:color w:val="231F20"/>
        </w:rPr>
        <w:t xml:space="preserve">  </w:t>
      </w:r>
      <w:r w:rsidR="007D5360" w:rsidRPr="007D5360">
        <w:rPr>
          <w:rFonts w:ascii="Times New Roman" w:eastAsia="Times New Roman" w:hAnsi="Times New Roman"/>
          <w:b w:val="0"/>
          <w:color w:val="auto"/>
        </w:rPr>
        <w:t>Lincoln University adheres to the Federal Office of Management and Budget Uniform Guidance and other applicable government regulations as well as sponsor terms and conditions</w:t>
      </w:r>
      <w:r w:rsidR="007D5360">
        <w:rPr>
          <w:rFonts w:ascii="TimesNewRomanPSMT" w:eastAsia="Times New Roman" w:hAnsi="TimesNewRomanPSMT"/>
          <w:b w:val="0"/>
          <w:color w:val="231F20"/>
        </w:rPr>
        <w:t xml:space="preserve"> as it pertains to cash drawdowns.  The University</w:t>
      </w:r>
      <w:r w:rsidR="007D5360" w:rsidRPr="007D5360">
        <w:rPr>
          <w:rFonts w:ascii="TimesNewRomanPSMT" w:eastAsia="Times New Roman" w:hAnsi="TimesNewRomanPSMT"/>
          <w:b w:val="0"/>
          <w:color w:val="231F20"/>
        </w:rPr>
        <w:t xml:space="preserve"> </w:t>
      </w:r>
      <w:r w:rsidR="00B344E1">
        <w:rPr>
          <w:rFonts w:ascii="TimesNewRomanPSMT" w:eastAsia="Times New Roman" w:hAnsi="TimesNewRomanPSMT"/>
          <w:b w:val="0"/>
          <w:color w:val="231F20"/>
        </w:rPr>
        <w:t>has the following policies and procedures</w:t>
      </w:r>
      <w:r w:rsidR="007D5360">
        <w:rPr>
          <w:rFonts w:ascii="TimesNewRomanPSMT" w:eastAsia="Times New Roman" w:hAnsi="TimesNewRomanPSMT"/>
          <w:b w:val="0"/>
          <w:color w:val="231F20"/>
        </w:rPr>
        <w:t xml:space="preserve"> currently in place:</w:t>
      </w:r>
      <w:r>
        <w:rPr>
          <w:rFonts w:ascii="TimesNewRomanPSMT" w:eastAsia="Times New Roman" w:hAnsi="TimesNewRomanPSMT"/>
          <w:color w:val="231F20"/>
        </w:rPr>
        <w:t xml:space="preserve"> </w:t>
      </w:r>
    </w:p>
    <w:p w:rsidR="00B344E1" w:rsidRPr="00B344E1" w:rsidRDefault="00B344E1" w:rsidP="00B344E1">
      <w:pPr>
        <w:pStyle w:val="Heading2"/>
        <w:ind w:firstLine="360"/>
        <w:rPr>
          <w:rFonts w:ascii="Times New Roman" w:eastAsia="Times New Roman" w:hAnsi="Times New Roman" w:cs="Times New Roman"/>
          <w:color w:val="auto"/>
          <w:sz w:val="24"/>
          <w:szCs w:val="24"/>
        </w:rPr>
      </w:pPr>
      <w:r w:rsidRPr="00B344E1">
        <w:rPr>
          <w:rFonts w:ascii="Times New Roman" w:eastAsia="Times New Roman" w:hAnsi="Times New Roman" w:cs="Times New Roman"/>
          <w:color w:val="auto"/>
          <w:sz w:val="24"/>
          <w:szCs w:val="24"/>
        </w:rPr>
        <w:t>C.  Cash Management</w:t>
      </w:r>
    </w:p>
    <w:p w:rsidR="00B344E1" w:rsidRPr="00B344E1" w:rsidRDefault="00B344E1" w:rsidP="00B344E1">
      <w:pPr>
        <w:rPr>
          <w:rFonts w:ascii="Times New Roman" w:eastAsia="Times New Roman" w:hAnsi="Times New Roman"/>
        </w:rPr>
      </w:pPr>
    </w:p>
    <w:p w:rsidR="00B344E1" w:rsidRPr="00B344E1" w:rsidRDefault="00B344E1" w:rsidP="00B344E1">
      <w:pPr>
        <w:ind w:firstLine="360"/>
        <w:rPr>
          <w:rFonts w:ascii="Times New Roman" w:eastAsia="Times New Roman" w:hAnsi="Times New Roman"/>
          <w:b/>
          <w:u w:val="single"/>
        </w:rPr>
      </w:pPr>
      <w:r w:rsidRPr="00B344E1">
        <w:rPr>
          <w:rFonts w:ascii="Times New Roman" w:eastAsia="Times New Roman" w:hAnsi="Times New Roman"/>
          <w:b/>
          <w:u w:val="single"/>
        </w:rPr>
        <w:t>CONTROL ENVIRONMENT</w:t>
      </w:r>
    </w:p>
    <w:p w:rsidR="00B344E1" w:rsidRPr="00B344E1" w:rsidRDefault="00B344E1" w:rsidP="00B344E1">
      <w:pPr>
        <w:rPr>
          <w:rFonts w:ascii="Times New Roman" w:eastAsia="Times New Roman" w:hAnsi="Times New Roman"/>
          <w:b/>
          <w:u w:val="single"/>
        </w:rPr>
      </w:pPr>
    </w:p>
    <w:p w:rsidR="00B344E1" w:rsidRPr="00B344E1" w:rsidRDefault="00B344E1" w:rsidP="00B344E1">
      <w:pPr>
        <w:ind w:left="360"/>
        <w:rPr>
          <w:rFonts w:ascii="Times New Roman" w:eastAsia="Times New Roman" w:hAnsi="Times New Roman"/>
        </w:rPr>
      </w:pPr>
      <w:r w:rsidRPr="00B344E1">
        <w:rPr>
          <w:rFonts w:ascii="Times New Roman" w:eastAsia="Times New Roman" w:hAnsi="Times New Roman"/>
        </w:rPr>
        <w:t>Staff and management in charge of program oversight are aware of the applicable federal requirements.  The respective Grant PI’s, the Director of ORSP, the Sr. Grants Accountant, and the VP of Fiscal Affairs have been working with federal grants for years.  Reimbursements are requested only for costs that have been incurred.  The Sr. Grants Accountant prepares an analysis of cash on hand and the VP of Fiscal Affairs approves the request before the Sr. Grants Accountant performs the on-line draw down creating a segregation of duties.</w:t>
      </w:r>
    </w:p>
    <w:p w:rsidR="00B344E1" w:rsidRPr="00B344E1" w:rsidRDefault="00B344E1" w:rsidP="00B344E1">
      <w:pPr>
        <w:rPr>
          <w:rFonts w:ascii="Times New Roman" w:eastAsia="Times New Roman" w:hAnsi="Times New Roman"/>
          <w:color w:val="0000FF"/>
        </w:rPr>
      </w:pPr>
    </w:p>
    <w:p w:rsidR="00B344E1" w:rsidRPr="00B344E1" w:rsidRDefault="00B344E1" w:rsidP="00B344E1">
      <w:pPr>
        <w:ind w:firstLine="360"/>
        <w:rPr>
          <w:rFonts w:ascii="Times New Roman" w:eastAsia="Times New Roman" w:hAnsi="Times New Roman"/>
          <w:u w:val="single"/>
        </w:rPr>
      </w:pPr>
      <w:r w:rsidRPr="00B344E1">
        <w:rPr>
          <w:rFonts w:ascii="Times New Roman" w:eastAsia="Times New Roman" w:hAnsi="Times New Roman"/>
          <w:u w:val="single"/>
        </w:rPr>
        <w:t>RISK ASSESSMENT</w:t>
      </w:r>
    </w:p>
    <w:p w:rsidR="00B344E1" w:rsidRPr="00B344E1" w:rsidRDefault="00B344E1" w:rsidP="00B344E1">
      <w:pPr>
        <w:ind w:left="360"/>
        <w:rPr>
          <w:rFonts w:ascii="Times New Roman" w:eastAsia="Times New Roman" w:hAnsi="Times New Roman"/>
        </w:rPr>
      </w:pPr>
      <w:r w:rsidRPr="00B344E1">
        <w:rPr>
          <w:rFonts w:ascii="Times New Roman" w:eastAsia="Times New Roman" w:hAnsi="Times New Roman"/>
        </w:rPr>
        <w:t xml:space="preserve">Management has identified the timing of </w:t>
      </w:r>
      <w:r w:rsidRPr="00B344E1">
        <w:rPr>
          <w:rFonts w:ascii="Times New Roman" w:eastAsia="Times New Roman" w:hAnsi="Times New Roman"/>
        </w:rPr>
        <w:t>drawdowns</w:t>
      </w:r>
      <w:r w:rsidRPr="00B344E1">
        <w:rPr>
          <w:rFonts w:ascii="Times New Roman" w:eastAsia="Times New Roman" w:hAnsi="Times New Roman"/>
        </w:rPr>
        <w:t xml:space="preserve"> of grant funds as a risk.  However, it is mitigated due to the University utilizing the reimbursement method. </w:t>
      </w:r>
    </w:p>
    <w:p w:rsidR="00B344E1" w:rsidRPr="00B344E1" w:rsidRDefault="00B344E1" w:rsidP="00B344E1">
      <w:pPr>
        <w:rPr>
          <w:rFonts w:ascii="Times New Roman" w:eastAsia="Times New Roman" w:hAnsi="Times New Roman"/>
          <w:i/>
          <w:color w:val="5F497A"/>
        </w:rPr>
      </w:pPr>
    </w:p>
    <w:p w:rsidR="00B344E1" w:rsidRPr="00B344E1" w:rsidRDefault="00B344E1" w:rsidP="00B344E1">
      <w:pPr>
        <w:ind w:firstLine="360"/>
        <w:rPr>
          <w:rFonts w:ascii="Times New Roman" w:eastAsia="Times New Roman" w:hAnsi="Times New Roman"/>
          <w:u w:val="single"/>
        </w:rPr>
      </w:pPr>
      <w:r w:rsidRPr="00B344E1">
        <w:rPr>
          <w:rFonts w:ascii="Times New Roman" w:eastAsia="Times New Roman" w:hAnsi="Times New Roman"/>
          <w:u w:val="single"/>
        </w:rPr>
        <w:t>CONTROL ACTIVITIES</w:t>
      </w:r>
    </w:p>
    <w:p w:rsidR="00B344E1" w:rsidRPr="00B344E1" w:rsidRDefault="00B344E1" w:rsidP="00B344E1">
      <w:pPr>
        <w:ind w:left="360"/>
        <w:rPr>
          <w:rFonts w:ascii="Times New Roman" w:eastAsia="Times New Roman" w:hAnsi="Times New Roman"/>
          <w:u w:val="single"/>
        </w:rPr>
      </w:pPr>
      <w:r w:rsidRPr="00B344E1">
        <w:rPr>
          <w:rFonts w:ascii="Times New Roman" w:eastAsia="Times New Roman" w:hAnsi="Times New Roman"/>
        </w:rPr>
        <w:t>Expenditures are initially paid with University funds.  The Sr. Grants Accountant will compile and summarize expenditures for the period from the general ledger.  From this analysis, the Sr. Grants Accountant</w:t>
      </w:r>
      <w:r>
        <w:rPr>
          <w:rFonts w:ascii="Times New Roman" w:eastAsia="Times New Roman" w:hAnsi="Times New Roman"/>
        </w:rPr>
        <w:t xml:space="preserve"> submits the request to draw</w:t>
      </w:r>
      <w:r w:rsidRPr="00B344E1">
        <w:rPr>
          <w:rFonts w:ascii="Times New Roman" w:eastAsia="Times New Roman" w:hAnsi="Times New Roman"/>
        </w:rPr>
        <w:t xml:space="preserve">down funds to reimburse the University for </w:t>
      </w:r>
      <w:proofErr w:type="gramStart"/>
      <w:r w:rsidRPr="00B344E1">
        <w:rPr>
          <w:rFonts w:ascii="Times New Roman" w:eastAsia="Times New Roman" w:hAnsi="Times New Roman"/>
        </w:rPr>
        <w:t>expenditures</w:t>
      </w:r>
      <w:proofErr w:type="gramEnd"/>
      <w:r w:rsidRPr="00B344E1">
        <w:rPr>
          <w:rFonts w:ascii="Times New Roman" w:eastAsia="Times New Roman" w:hAnsi="Times New Roman"/>
        </w:rPr>
        <w:t xml:space="preserve"> for the period.  Upon approval, the draw is conducted from the ACM$ system, which is maintained and operated by NSF and is password and username protected.  Cash is received in the University’s bank account, which is controlled and monitored by the Controller’s office. </w:t>
      </w:r>
    </w:p>
    <w:p w:rsidR="00B344E1" w:rsidRPr="00B344E1" w:rsidRDefault="00B344E1" w:rsidP="00B344E1">
      <w:pPr>
        <w:rPr>
          <w:rFonts w:ascii="Times New Roman" w:eastAsia="Times New Roman" w:hAnsi="Times New Roman"/>
          <w:u w:val="single"/>
        </w:rPr>
      </w:pPr>
    </w:p>
    <w:p w:rsidR="00B344E1" w:rsidRPr="00B344E1" w:rsidRDefault="00B344E1" w:rsidP="00B344E1">
      <w:pPr>
        <w:ind w:firstLine="360"/>
        <w:rPr>
          <w:rFonts w:ascii="Times New Roman" w:eastAsia="Times New Roman" w:hAnsi="Times New Roman"/>
          <w:u w:val="single"/>
        </w:rPr>
      </w:pPr>
      <w:r w:rsidRPr="00B344E1">
        <w:rPr>
          <w:rFonts w:ascii="Times New Roman" w:eastAsia="Times New Roman" w:hAnsi="Times New Roman"/>
          <w:u w:val="single"/>
        </w:rPr>
        <w:t>INFORMATION AND COMMUNICATION</w:t>
      </w:r>
    </w:p>
    <w:p w:rsidR="00B344E1" w:rsidRPr="00B344E1" w:rsidRDefault="00B344E1" w:rsidP="00B344E1">
      <w:pPr>
        <w:ind w:left="360"/>
        <w:rPr>
          <w:rFonts w:ascii="Times New Roman" w:eastAsia="Times New Roman" w:hAnsi="Times New Roman"/>
        </w:rPr>
      </w:pPr>
      <w:r w:rsidRPr="00B344E1">
        <w:rPr>
          <w:rFonts w:ascii="Times New Roman" w:eastAsia="Times New Roman" w:hAnsi="Times New Roman"/>
        </w:rPr>
        <w:t xml:space="preserve">The Sr. Grants Accountant submits to the Director of ORSP and the Grant PI the date and the amount of the draw as part of the review control process.  The Director of ORSP is knowledgeable and kept informed regarding the requirements through updates and reading the agreements. </w:t>
      </w:r>
    </w:p>
    <w:p w:rsidR="00B344E1" w:rsidRPr="00B344E1" w:rsidRDefault="00B344E1" w:rsidP="00B344E1">
      <w:pPr>
        <w:rPr>
          <w:rFonts w:ascii="Times New Roman" w:eastAsia="Times New Roman" w:hAnsi="Times New Roman"/>
          <w:color w:val="0000FF"/>
        </w:rPr>
      </w:pPr>
    </w:p>
    <w:p w:rsidR="00B344E1" w:rsidRPr="00B344E1" w:rsidRDefault="00B344E1" w:rsidP="00B344E1">
      <w:pPr>
        <w:ind w:firstLine="360"/>
        <w:rPr>
          <w:rFonts w:ascii="Times New Roman" w:eastAsia="Times New Roman" w:hAnsi="Times New Roman"/>
          <w:u w:val="single"/>
        </w:rPr>
      </w:pPr>
      <w:r w:rsidRPr="00B344E1">
        <w:rPr>
          <w:rFonts w:ascii="Times New Roman" w:eastAsia="Times New Roman" w:hAnsi="Times New Roman"/>
          <w:u w:val="single"/>
        </w:rPr>
        <w:t>MONITORING</w:t>
      </w:r>
      <w:bookmarkStart w:id="0" w:name="_GoBack"/>
      <w:bookmarkEnd w:id="0"/>
    </w:p>
    <w:p w:rsidR="00B344E1" w:rsidRPr="00B344E1" w:rsidRDefault="00B344E1" w:rsidP="00B344E1">
      <w:pPr>
        <w:ind w:left="360"/>
        <w:rPr>
          <w:rFonts w:ascii="Times New Roman" w:eastAsia="Times New Roman" w:hAnsi="Times New Roman"/>
        </w:rPr>
      </w:pPr>
      <w:r w:rsidRPr="00B344E1">
        <w:rPr>
          <w:rFonts w:ascii="Times New Roman" w:eastAsia="Times New Roman" w:hAnsi="Times New Roman"/>
        </w:rPr>
        <w:lastRenderedPageBreak/>
        <w:t>All cash draw requests are approved by the VP of Fiscal Affairs. Management and staff are knowledgeable and kept informed regarding the requirements through updates and reading the agreements.</w:t>
      </w:r>
    </w:p>
    <w:p w:rsidR="00B51212" w:rsidRDefault="00B51212" w:rsidP="005F76F2">
      <w:pPr>
        <w:ind w:left="720"/>
        <w:rPr>
          <w:rFonts w:ascii="Times New Roman" w:hAnsi="Times New Roman"/>
        </w:rPr>
      </w:pPr>
    </w:p>
    <w:p w:rsidR="007D5360" w:rsidRPr="009B4320" w:rsidRDefault="007D5360" w:rsidP="007D5360">
      <w:pPr>
        <w:autoSpaceDE w:val="0"/>
        <w:autoSpaceDN w:val="0"/>
        <w:ind w:left="720"/>
        <w:rPr>
          <w:rFonts w:ascii="TimesNewRomanPSMT" w:eastAsia="Times New Roman" w:hAnsi="TimesNewRomanPSMT"/>
          <w:color w:val="231F20"/>
        </w:rPr>
      </w:pPr>
      <w:r>
        <w:rPr>
          <w:rFonts w:ascii="TimesNewRomanPSMT" w:eastAsia="Times New Roman" w:hAnsi="TimesNewRomanPSMT"/>
          <w:b/>
          <w:color w:val="231F20"/>
        </w:rPr>
        <w:t>When:</w:t>
      </w:r>
      <w:r>
        <w:rPr>
          <w:rFonts w:ascii="TimesNewRomanPSMT" w:eastAsia="Times New Roman" w:hAnsi="TimesNewRomanPSMT"/>
          <w:color w:val="231F20"/>
        </w:rPr>
        <w:t xml:space="preserve">  The new policy was drafted in </w:t>
      </w:r>
      <w:r>
        <w:rPr>
          <w:rFonts w:ascii="TimesNewRomanPSMT" w:eastAsia="Times New Roman" w:hAnsi="TimesNewRomanPSMT"/>
          <w:color w:val="231F20"/>
        </w:rPr>
        <w:t>calendar year 2108</w:t>
      </w:r>
      <w:r>
        <w:rPr>
          <w:rFonts w:ascii="TimesNewRomanPSMT" w:eastAsia="Times New Roman" w:hAnsi="TimesNewRomanPSMT"/>
          <w:color w:val="231F20"/>
        </w:rPr>
        <w:t xml:space="preserve">.  It is anticipated that the new policy will be made actionable and official once the Administration and the Board of Trustees have accepted and ratified the policy and procedures manual.  Again, we anticipate this happening within the 2018 calendar year.  </w:t>
      </w:r>
    </w:p>
    <w:p w:rsidR="007D5360" w:rsidRDefault="007D5360" w:rsidP="007D5360">
      <w:pPr>
        <w:autoSpaceDE w:val="0"/>
        <w:autoSpaceDN w:val="0"/>
        <w:rPr>
          <w:rFonts w:ascii="TimesNewRomanPSMT" w:hAnsi="TimesNewRomanPSMT"/>
          <w:color w:val="231F20"/>
        </w:rPr>
      </w:pPr>
    </w:p>
    <w:p w:rsidR="007D5360" w:rsidRPr="009B4320" w:rsidRDefault="007D5360" w:rsidP="007D5360">
      <w:pPr>
        <w:autoSpaceDE w:val="0"/>
        <w:autoSpaceDN w:val="0"/>
        <w:ind w:left="720"/>
        <w:rPr>
          <w:rFonts w:ascii="TimesNewRomanPSMT" w:hAnsi="TimesNewRomanPSMT"/>
          <w:color w:val="231F20"/>
        </w:rPr>
      </w:pPr>
      <w:proofErr w:type="gramStart"/>
      <w:r>
        <w:rPr>
          <w:rFonts w:ascii="TimesNewRomanPSMT" w:hAnsi="TimesNewRomanPSMT"/>
          <w:b/>
          <w:color w:val="231F20"/>
        </w:rPr>
        <w:t>Supporting Documentation:</w:t>
      </w:r>
      <w:r>
        <w:rPr>
          <w:rFonts w:ascii="TimesNewRomanPSMT" w:hAnsi="TimesNewRomanPSMT"/>
          <w:color w:val="231F20"/>
        </w:rPr>
        <w:t xml:space="preserve">  Copies of the draft policies can be provided after being written.</w:t>
      </w:r>
      <w:proofErr w:type="gramEnd"/>
      <w:r>
        <w:rPr>
          <w:rFonts w:ascii="TimesNewRomanPSMT" w:hAnsi="TimesNewRomanPSMT"/>
          <w:color w:val="231F20"/>
        </w:rPr>
        <w:t xml:space="preserve"> </w:t>
      </w:r>
    </w:p>
    <w:p w:rsidR="007D5360" w:rsidRPr="005F76F2" w:rsidRDefault="007D5360" w:rsidP="007D5360">
      <w:pPr>
        <w:autoSpaceDE w:val="0"/>
        <w:autoSpaceDN w:val="0"/>
        <w:ind w:left="720"/>
        <w:rPr>
          <w:rFonts w:ascii="TimesNewRomanPSMT" w:eastAsia="Times New Roman" w:hAnsi="TimesNewRomanPSMT"/>
          <w:color w:val="231F20"/>
        </w:rPr>
      </w:pPr>
    </w:p>
    <w:p w:rsidR="00C87578" w:rsidRDefault="00C87578" w:rsidP="00B51212"/>
    <w:sectPr w:rsidR="00C875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11" w:rsidRDefault="00CA4F11" w:rsidP="007D5360">
      <w:r>
        <w:separator/>
      </w:r>
    </w:p>
  </w:endnote>
  <w:endnote w:type="continuationSeparator" w:id="0">
    <w:p w:rsidR="00CA4F11" w:rsidRDefault="00CA4F11" w:rsidP="007D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99281"/>
      <w:docPartObj>
        <w:docPartGallery w:val="Page Numbers (Bottom of Page)"/>
        <w:docPartUnique/>
      </w:docPartObj>
    </w:sdtPr>
    <w:sdtEndPr>
      <w:rPr>
        <w:color w:val="808080" w:themeColor="background1" w:themeShade="80"/>
        <w:spacing w:val="60"/>
      </w:rPr>
    </w:sdtEndPr>
    <w:sdtContent>
      <w:p w:rsidR="007D5360" w:rsidRDefault="007D53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3414">
          <w:rPr>
            <w:noProof/>
          </w:rPr>
          <w:t>2</w:t>
        </w:r>
        <w:r>
          <w:rPr>
            <w:noProof/>
          </w:rPr>
          <w:fldChar w:fldCharType="end"/>
        </w:r>
        <w:r>
          <w:t xml:space="preserve"> | </w:t>
        </w:r>
        <w:r>
          <w:rPr>
            <w:color w:val="808080" w:themeColor="background1" w:themeShade="80"/>
            <w:spacing w:val="60"/>
          </w:rPr>
          <w:t>Page</w:t>
        </w:r>
      </w:p>
    </w:sdtContent>
  </w:sdt>
  <w:p w:rsidR="007D5360" w:rsidRDefault="007D5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11" w:rsidRDefault="00CA4F11" w:rsidP="007D5360">
      <w:r>
        <w:separator/>
      </w:r>
    </w:p>
  </w:footnote>
  <w:footnote w:type="continuationSeparator" w:id="0">
    <w:p w:rsidR="00CA4F11" w:rsidRDefault="00CA4F11" w:rsidP="007D5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CCD"/>
    <w:multiLevelType w:val="hybridMultilevel"/>
    <w:tmpl w:val="8E28F6BA"/>
    <w:lvl w:ilvl="0" w:tplc="2D64A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48CA"/>
    <w:multiLevelType w:val="multilevel"/>
    <w:tmpl w:val="868873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663BCC"/>
    <w:multiLevelType w:val="multilevel"/>
    <w:tmpl w:val="7CD2E4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DC3700"/>
    <w:multiLevelType w:val="multilevel"/>
    <w:tmpl w:val="66F0861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CF425D"/>
    <w:multiLevelType w:val="hybridMultilevel"/>
    <w:tmpl w:val="6EFAD560"/>
    <w:lvl w:ilvl="0" w:tplc="9BFE0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F7C46"/>
    <w:multiLevelType w:val="multilevel"/>
    <w:tmpl w:val="96942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592DE2"/>
    <w:multiLevelType w:val="multilevel"/>
    <w:tmpl w:val="0590A2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FE1912"/>
    <w:multiLevelType w:val="multilevel"/>
    <w:tmpl w:val="E8467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07A4B24"/>
    <w:multiLevelType w:val="multilevel"/>
    <w:tmpl w:val="E0662F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D00D38"/>
    <w:multiLevelType w:val="hybridMultilevel"/>
    <w:tmpl w:val="A4B4257C"/>
    <w:lvl w:ilvl="0" w:tplc="EDE4C4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D384C"/>
    <w:multiLevelType w:val="hybridMultilevel"/>
    <w:tmpl w:val="E3EC697C"/>
    <w:lvl w:ilvl="0" w:tplc="A864A30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14AD9"/>
    <w:multiLevelType w:val="multilevel"/>
    <w:tmpl w:val="C6B0DE6C"/>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4D40473"/>
    <w:multiLevelType w:val="multilevel"/>
    <w:tmpl w:val="A28EB3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5F67A0E"/>
    <w:multiLevelType w:val="multilevel"/>
    <w:tmpl w:val="7F8EE9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384F41"/>
    <w:multiLevelType w:val="multilevel"/>
    <w:tmpl w:val="7568BC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7DB2956"/>
    <w:multiLevelType w:val="multilevel"/>
    <w:tmpl w:val="19D682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7321AE2"/>
    <w:multiLevelType w:val="multilevel"/>
    <w:tmpl w:val="06D435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E8578DF"/>
    <w:multiLevelType w:val="multilevel"/>
    <w:tmpl w:val="C25CF79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6B"/>
    <w:rsid w:val="00043414"/>
    <w:rsid w:val="000613F7"/>
    <w:rsid w:val="00075EC9"/>
    <w:rsid w:val="003E0CFC"/>
    <w:rsid w:val="00410650"/>
    <w:rsid w:val="0043222B"/>
    <w:rsid w:val="004A4FDD"/>
    <w:rsid w:val="004C48CA"/>
    <w:rsid w:val="005E2152"/>
    <w:rsid w:val="005F76F2"/>
    <w:rsid w:val="00626F3D"/>
    <w:rsid w:val="00631DE2"/>
    <w:rsid w:val="00754999"/>
    <w:rsid w:val="007D5360"/>
    <w:rsid w:val="00895EBE"/>
    <w:rsid w:val="0098642E"/>
    <w:rsid w:val="009B4320"/>
    <w:rsid w:val="009C1AF7"/>
    <w:rsid w:val="00B344E1"/>
    <w:rsid w:val="00B51212"/>
    <w:rsid w:val="00C87578"/>
    <w:rsid w:val="00C918E6"/>
    <w:rsid w:val="00CA4F11"/>
    <w:rsid w:val="00D001FE"/>
    <w:rsid w:val="00D20A6D"/>
    <w:rsid w:val="00D76CF5"/>
    <w:rsid w:val="00D90C21"/>
    <w:rsid w:val="00D919F2"/>
    <w:rsid w:val="00EE1C14"/>
    <w:rsid w:val="00F7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6B"/>
    <w:pPr>
      <w:spacing w:after="0" w:line="240" w:lineRule="auto"/>
    </w:pPr>
    <w:rPr>
      <w:rFonts w:ascii="Book Antiqua" w:hAnsi="Book Antiqua" w:cs="Times New Roman"/>
      <w:sz w:val="24"/>
      <w:szCs w:val="24"/>
    </w:rPr>
  </w:style>
  <w:style w:type="paragraph" w:styleId="Heading2">
    <w:name w:val="heading 2"/>
    <w:basedOn w:val="Normal"/>
    <w:next w:val="Normal"/>
    <w:link w:val="Heading2Char"/>
    <w:uiPriority w:val="9"/>
    <w:semiHidden/>
    <w:unhideWhenUsed/>
    <w:qFormat/>
    <w:rsid w:val="00B34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6B"/>
    <w:pPr>
      <w:ind w:left="720"/>
    </w:pPr>
  </w:style>
  <w:style w:type="paragraph" w:styleId="BalloonText">
    <w:name w:val="Balloon Text"/>
    <w:basedOn w:val="Normal"/>
    <w:link w:val="BalloonTextChar"/>
    <w:uiPriority w:val="99"/>
    <w:semiHidden/>
    <w:unhideWhenUsed/>
    <w:rsid w:val="00D90C21"/>
    <w:rPr>
      <w:rFonts w:ascii="Tahoma" w:hAnsi="Tahoma" w:cs="Tahoma"/>
      <w:sz w:val="16"/>
      <w:szCs w:val="16"/>
    </w:rPr>
  </w:style>
  <w:style w:type="character" w:customStyle="1" w:styleId="BalloonTextChar">
    <w:name w:val="Balloon Text Char"/>
    <w:basedOn w:val="DefaultParagraphFont"/>
    <w:link w:val="BalloonText"/>
    <w:uiPriority w:val="99"/>
    <w:semiHidden/>
    <w:rsid w:val="00D90C21"/>
    <w:rPr>
      <w:rFonts w:ascii="Tahoma" w:hAnsi="Tahoma" w:cs="Tahoma"/>
      <w:sz w:val="16"/>
      <w:szCs w:val="16"/>
    </w:rPr>
  </w:style>
  <w:style w:type="character" w:styleId="Hyperlink">
    <w:name w:val="Hyperlink"/>
    <w:basedOn w:val="DefaultParagraphFont"/>
    <w:uiPriority w:val="99"/>
    <w:semiHidden/>
    <w:unhideWhenUsed/>
    <w:rsid w:val="005F76F2"/>
    <w:rPr>
      <w:color w:val="0000FF"/>
      <w:u w:val="single"/>
    </w:rPr>
  </w:style>
  <w:style w:type="character" w:customStyle="1" w:styleId="Heading2Char">
    <w:name w:val="Heading 2 Char"/>
    <w:basedOn w:val="DefaultParagraphFont"/>
    <w:link w:val="Heading2"/>
    <w:uiPriority w:val="9"/>
    <w:semiHidden/>
    <w:rsid w:val="00B344E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D5360"/>
    <w:pPr>
      <w:tabs>
        <w:tab w:val="center" w:pos="4680"/>
        <w:tab w:val="right" w:pos="9360"/>
      </w:tabs>
    </w:pPr>
  </w:style>
  <w:style w:type="character" w:customStyle="1" w:styleId="HeaderChar">
    <w:name w:val="Header Char"/>
    <w:basedOn w:val="DefaultParagraphFont"/>
    <w:link w:val="Header"/>
    <w:uiPriority w:val="99"/>
    <w:rsid w:val="007D5360"/>
    <w:rPr>
      <w:rFonts w:ascii="Book Antiqua" w:hAnsi="Book Antiqua" w:cs="Times New Roman"/>
      <w:sz w:val="24"/>
      <w:szCs w:val="24"/>
    </w:rPr>
  </w:style>
  <w:style w:type="paragraph" w:styleId="Footer">
    <w:name w:val="footer"/>
    <w:basedOn w:val="Normal"/>
    <w:link w:val="FooterChar"/>
    <w:uiPriority w:val="99"/>
    <w:unhideWhenUsed/>
    <w:rsid w:val="007D5360"/>
    <w:pPr>
      <w:tabs>
        <w:tab w:val="center" w:pos="4680"/>
        <w:tab w:val="right" w:pos="9360"/>
      </w:tabs>
    </w:pPr>
  </w:style>
  <w:style w:type="character" w:customStyle="1" w:styleId="FooterChar">
    <w:name w:val="Footer Char"/>
    <w:basedOn w:val="DefaultParagraphFont"/>
    <w:link w:val="Footer"/>
    <w:uiPriority w:val="99"/>
    <w:rsid w:val="007D5360"/>
    <w:rPr>
      <w:rFonts w:ascii="Book Antiqua" w:hAnsi="Book Antiqu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6B"/>
    <w:pPr>
      <w:spacing w:after="0" w:line="240" w:lineRule="auto"/>
    </w:pPr>
    <w:rPr>
      <w:rFonts w:ascii="Book Antiqua" w:hAnsi="Book Antiqua" w:cs="Times New Roman"/>
      <w:sz w:val="24"/>
      <w:szCs w:val="24"/>
    </w:rPr>
  </w:style>
  <w:style w:type="paragraph" w:styleId="Heading2">
    <w:name w:val="heading 2"/>
    <w:basedOn w:val="Normal"/>
    <w:next w:val="Normal"/>
    <w:link w:val="Heading2Char"/>
    <w:uiPriority w:val="9"/>
    <w:semiHidden/>
    <w:unhideWhenUsed/>
    <w:qFormat/>
    <w:rsid w:val="00B34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6B"/>
    <w:pPr>
      <w:ind w:left="720"/>
    </w:pPr>
  </w:style>
  <w:style w:type="paragraph" w:styleId="BalloonText">
    <w:name w:val="Balloon Text"/>
    <w:basedOn w:val="Normal"/>
    <w:link w:val="BalloonTextChar"/>
    <w:uiPriority w:val="99"/>
    <w:semiHidden/>
    <w:unhideWhenUsed/>
    <w:rsid w:val="00D90C21"/>
    <w:rPr>
      <w:rFonts w:ascii="Tahoma" w:hAnsi="Tahoma" w:cs="Tahoma"/>
      <w:sz w:val="16"/>
      <w:szCs w:val="16"/>
    </w:rPr>
  </w:style>
  <w:style w:type="character" w:customStyle="1" w:styleId="BalloonTextChar">
    <w:name w:val="Balloon Text Char"/>
    <w:basedOn w:val="DefaultParagraphFont"/>
    <w:link w:val="BalloonText"/>
    <w:uiPriority w:val="99"/>
    <w:semiHidden/>
    <w:rsid w:val="00D90C21"/>
    <w:rPr>
      <w:rFonts w:ascii="Tahoma" w:hAnsi="Tahoma" w:cs="Tahoma"/>
      <w:sz w:val="16"/>
      <w:szCs w:val="16"/>
    </w:rPr>
  </w:style>
  <w:style w:type="character" w:styleId="Hyperlink">
    <w:name w:val="Hyperlink"/>
    <w:basedOn w:val="DefaultParagraphFont"/>
    <w:uiPriority w:val="99"/>
    <w:semiHidden/>
    <w:unhideWhenUsed/>
    <w:rsid w:val="005F76F2"/>
    <w:rPr>
      <w:color w:val="0000FF"/>
      <w:u w:val="single"/>
    </w:rPr>
  </w:style>
  <w:style w:type="character" w:customStyle="1" w:styleId="Heading2Char">
    <w:name w:val="Heading 2 Char"/>
    <w:basedOn w:val="DefaultParagraphFont"/>
    <w:link w:val="Heading2"/>
    <w:uiPriority w:val="9"/>
    <w:semiHidden/>
    <w:rsid w:val="00B344E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D5360"/>
    <w:pPr>
      <w:tabs>
        <w:tab w:val="center" w:pos="4680"/>
        <w:tab w:val="right" w:pos="9360"/>
      </w:tabs>
    </w:pPr>
  </w:style>
  <w:style w:type="character" w:customStyle="1" w:styleId="HeaderChar">
    <w:name w:val="Header Char"/>
    <w:basedOn w:val="DefaultParagraphFont"/>
    <w:link w:val="Header"/>
    <w:uiPriority w:val="99"/>
    <w:rsid w:val="007D5360"/>
    <w:rPr>
      <w:rFonts w:ascii="Book Antiqua" w:hAnsi="Book Antiqua" w:cs="Times New Roman"/>
      <w:sz w:val="24"/>
      <w:szCs w:val="24"/>
    </w:rPr>
  </w:style>
  <w:style w:type="paragraph" w:styleId="Footer">
    <w:name w:val="footer"/>
    <w:basedOn w:val="Normal"/>
    <w:link w:val="FooterChar"/>
    <w:uiPriority w:val="99"/>
    <w:unhideWhenUsed/>
    <w:rsid w:val="007D5360"/>
    <w:pPr>
      <w:tabs>
        <w:tab w:val="center" w:pos="4680"/>
        <w:tab w:val="right" w:pos="9360"/>
      </w:tabs>
    </w:pPr>
  </w:style>
  <w:style w:type="character" w:customStyle="1" w:styleId="FooterChar">
    <w:name w:val="Footer Char"/>
    <w:basedOn w:val="DefaultParagraphFont"/>
    <w:link w:val="Footer"/>
    <w:uiPriority w:val="99"/>
    <w:rsid w:val="007D5360"/>
    <w:rPr>
      <w:rFonts w:ascii="Book Antiqua"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3712">
      <w:bodyDiv w:val="1"/>
      <w:marLeft w:val="0"/>
      <w:marRight w:val="0"/>
      <w:marTop w:val="0"/>
      <w:marBottom w:val="0"/>
      <w:divBdr>
        <w:top w:val="none" w:sz="0" w:space="0" w:color="auto"/>
        <w:left w:val="none" w:sz="0" w:space="0" w:color="auto"/>
        <w:bottom w:val="none" w:sz="0" w:space="0" w:color="auto"/>
        <w:right w:val="none" w:sz="0" w:space="0" w:color="auto"/>
      </w:divBdr>
    </w:div>
    <w:div w:id="1126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tpl=/ecfrbrowse/Title02/2cfr200_main_02.t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Charles</dc:creator>
  <cp:lastModifiedBy>Sutton, Charles</cp:lastModifiedBy>
  <cp:revision>7</cp:revision>
  <cp:lastPrinted>2018-01-19T14:39:00Z</cp:lastPrinted>
  <dcterms:created xsi:type="dcterms:W3CDTF">2018-01-17T21:41:00Z</dcterms:created>
  <dcterms:modified xsi:type="dcterms:W3CDTF">2018-01-19T18:48:00Z</dcterms:modified>
</cp:coreProperties>
</file>