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F1" w:rsidRDefault="00A92DF1" w:rsidP="00A92DF1">
      <w:pPr>
        <w:ind w:right="283"/>
        <w:rPr>
          <w:rFonts w:ascii="Times New Roman"/>
          <w:b/>
          <w:sz w:val="24"/>
        </w:rPr>
      </w:pPr>
      <w:r>
        <w:rPr>
          <w:noProof/>
        </w:rPr>
        <w:drawing>
          <wp:inline distT="0" distB="0" distL="0" distR="0" wp14:anchorId="561DCA4E" wp14:editId="4FE6FFE1">
            <wp:extent cx="755374" cy="37371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025" t="14496" r="12605" b="18698"/>
                    <a:stretch/>
                  </pic:blipFill>
                  <pic:spPr bwMode="auto">
                    <a:xfrm>
                      <a:off x="0" y="0"/>
                      <a:ext cx="767958" cy="3799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pict>
          <v:oval id="_x0000_s1026" style="position:absolute;margin-left:444.6pt;margin-top:-26.15pt;width:47.6pt;height:30.65pt;z-index:251658240;mso-position-horizontal-relative:text;mso-position-vertical-relative:text" fillcolor="#4f81bd [3204]" strokecolor="#f2f2f2 [3041]" strokeweight="3pt">
            <v:shadow on="t" type="perspective" color="#243f60 [1604]" opacity=".5" offset="1pt" offset2="-1pt"/>
            <v:textbox>
              <w:txbxContent>
                <w:p w:rsidR="00A92DF1" w:rsidRPr="00A92DF1" w:rsidRDefault="00A92DF1" w:rsidP="00A92DF1">
                  <w:pPr>
                    <w:pStyle w:val="Heading1"/>
                  </w:pPr>
                  <w:proofErr w:type="spellStart"/>
                  <w:r w:rsidRPr="00A92DF1">
                    <w:t>irb</w:t>
                  </w:r>
                  <w:proofErr w:type="spellEnd"/>
                </w:p>
              </w:txbxContent>
            </v:textbox>
          </v:oval>
        </w:pict>
      </w:r>
    </w:p>
    <w:p w:rsidR="00A92DF1" w:rsidRDefault="00A92DF1" w:rsidP="00A92DF1">
      <w:pPr>
        <w:ind w:right="283"/>
        <w:rPr>
          <w:rFonts w:ascii="Times New Roman"/>
          <w:b/>
          <w:sz w:val="24"/>
        </w:rPr>
      </w:pPr>
    </w:p>
    <w:p w:rsidR="004B3319" w:rsidRDefault="002F7D53">
      <w:pPr>
        <w:ind w:left="100" w:right="283" w:firstLine="1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Exempt and Expedited Reviews of Human Subjects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Research</w:t>
      </w:r>
    </w:p>
    <w:p w:rsidR="004B3319" w:rsidRDefault="004B3319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319" w:rsidRDefault="002F7D53">
      <w:pPr>
        <w:pStyle w:val="BodyText"/>
        <w:ind w:right="283"/>
      </w:pPr>
      <w:r>
        <w:rPr>
          <w:u w:val="single" w:color="000000"/>
        </w:rPr>
        <w:t>Research Eligible for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Exemption:</w:t>
      </w:r>
    </w:p>
    <w:p w:rsidR="004B3319" w:rsidRDefault="004B3319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4B3319" w:rsidRDefault="002F7D53">
      <w:pPr>
        <w:pStyle w:val="BodyText"/>
        <w:spacing w:before="69"/>
        <w:ind w:right="283"/>
      </w:pPr>
      <w:r>
        <w:t xml:space="preserve">There are activities that </w:t>
      </w:r>
      <w:r>
        <w:rPr>
          <w:b/>
        </w:rPr>
        <w:t xml:space="preserve">do </w:t>
      </w:r>
      <w:r>
        <w:t>meet the definition of research with human subjects but</w:t>
      </w:r>
      <w:r>
        <w:rPr>
          <w:spacing w:val="-12"/>
        </w:rPr>
        <w:t xml:space="preserve"> </w:t>
      </w:r>
      <w:r>
        <w:t xml:space="preserve">are </w:t>
      </w:r>
      <w:r>
        <w:rPr>
          <w:b/>
        </w:rPr>
        <w:t xml:space="preserve">not </w:t>
      </w:r>
      <w:r>
        <w:t xml:space="preserve">covered by the provisions of the </w:t>
      </w:r>
      <w:hyperlink r:id="rId9">
        <w:r>
          <w:rPr>
            <w:color w:val="800000"/>
            <w:u w:val="single" w:color="800000"/>
          </w:rPr>
          <w:t>Common Rule</w:t>
        </w:r>
      </w:hyperlink>
      <w:r>
        <w:t>. Thus they do not require review</w:t>
      </w:r>
      <w:r>
        <w:rPr>
          <w:spacing w:val="-13"/>
        </w:rPr>
        <w:t xml:space="preserve"> </w:t>
      </w:r>
      <w:r>
        <w:t>as described in the Rule. They are, however, subject to the ethical principles adopted</w:t>
      </w:r>
      <w:r>
        <w:rPr>
          <w:spacing w:val="-14"/>
        </w:rPr>
        <w:t xml:space="preserve"> </w:t>
      </w:r>
      <w:r>
        <w:t xml:space="preserve">by USC. (For example, the Belmont Report requires a consent process for </w:t>
      </w:r>
      <w:r>
        <w:rPr>
          <w:b/>
        </w:rPr>
        <w:t>all</w:t>
      </w:r>
      <w:r>
        <w:rPr>
          <w:b/>
          <w:spacing w:val="-7"/>
        </w:rPr>
        <w:t xml:space="preserve"> </w:t>
      </w:r>
      <w:r>
        <w:t>research).</w:t>
      </w:r>
    </w:p>
    <w:p w:rsidR="004B3319" w:rsidRDefault="004B331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4B3319" w:rsidRDefault="002F7D53">
      <w:pPr>
        <w:pStyle w:val="BodyText"/>
        <w:ind w:right="283"/>
      </w:pPr>
      <w:r>
        <w:t>While these studies do not require review in accordance with the Common Rule,</w:t>
      </w:r>
      <w:r>
        <w:rPr>
          <w:spacing w:val="-19"/>
        </w:rPr>
        <w:t xml:space="preserve"> </w:t>
      </w:r>
      <w:r>
        <w:t>some procedure is necessary to make the determination that they are eligible for</w:t>
      </w:r>
      <w:r>
        <w:rPr>
          <w:spacing w:val="-11"/>
        </w:rPr>
        <w:t xml:space="preserve"> </w:t>
      </w:r>
      <w:r>
        <w:t>exemption. Institutional procedures vary, but the common element is that the institution must</w:t>
      </w:r>
      <w:r>
        <w:rPr>
          <w:spacing w:val="-9"/>
        </w:rPr>
        <w:t xml:space="preserve"> </w:t>
      </w:r>
      <w:r>
        <w:t>make the determination, not the</w:t>
      </w:r>
      <w:r>
        <w:rPr>
          <w:spacing w:val="-2"/>
        </w:rPr>
        <w:t xml:space="preserve"> </w:t>
      </w:r>
      <w:r>
        <w:t>investigator.</w:t>
      </w:r>
    </w:p>
    <w:p w:rsidR="004B3319" w:rsidRDefault="004B331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3319" w:rsidRDefault="002F7D53">
      <w:pPr>
        <w:pStyle w:val="BodyText"/>
        <w:ind w:right="340"/>
        <w:jc w:val="both"/>
      </w:pPr>
      <w:r>
        <w:t xml:space="preserve">Research may be eligible for exemption if </w:t>
      </w:r>
      <w:r>
        <w:rPr>
          <w:b/>
        </w:rPr>
        <w:t xml:space="preserve">all </w:t>
      </w:r>
      <w:r>
        <w:t>the activities associated with the</w:t>
      </w:r>
      <w:r>
        <w:rPr>
          <w:spacing w:val="-15"/>
        </w:rPr>
        <w:t xml:space="preserve"> </w:t>
      </w:r>
      <w:r>
        <w:t>research fall into one of six categories. Of the six categories, three are frequently used by</w:t>
      </w:r>
      <w:r>
        <w:rPr>
          <w:spacing w:val="-18"/>
        </w:rPr>
        <w:t xml:space="preserve"> </w:t>
      </w:r>
      <w:r>
        <w:t>social and behavioral scientists. They are:</w:t>
      </w:r>
    </w:p>
    <w:p w:rsidR="004B3319" w:rsidRDefault="004B331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4B3319" w:rsidRDefault="002F7D53">
      <w:pPr>
        <w:pStyle w:val="ListParagraph"/>
        <w:numPr>
          <w:ilvl w:val="0"/>
          <w:numId w:val="2"/>
        </w:numPr>
        <w:tabs>
          <w:tab w:val="left" w:pos="820"/>
        </w:tabs>
        <w:ind w:right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Research conducted in established or commonly accepted educational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settings, involving normal educational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practices</w:t>
      </w:r>
    </w:p>
    <w:p w:rsidR="004B3319" w:rsidRDefault="002F7D53">
      <w:pPr>
        <w:pStyle w:val="ListParagraph"/>
        <w:numPr>
          <w:ilvl w:val="0"/>
          <w:numId w:val="2"/>
        </w:numPr>
        <w:tabs>
          <w:tab w:val="left" w:pos="820"/>
        </w:tabs>
        <w:ind w:righ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 involving survey procedures, interview procedures, or observation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 behavior providing that any disclosure of identifiable information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outside the research setting would not place the subjects at risk of criminal or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civil liability or be damaging to the subjects’ financial standing, employability,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reputation</w:t>
      </w:r>
    </w:p>
    <w:p w:rsidR="004B3319" w:rsidRDefault="004B331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3319" w:rsidRDefault="002F7D53">
      <w:pPr>
        <w:ind w:left="819" w:righ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NOTE: If </w:t>
      </w:r>
      <w:hyperlink r:id="rId10" w:anchor="subpartd">
        <w:r>
          <w:rPr>
            <w:rFonts w:ascii="Times New Roman"/>
            <w:color w:val="800000"/>
            <w:sz w:val="24"/>
            <w:u w:val="single" w:color="800000"/>
          </w:rPr>
          <w:t xml:space="preserve">Subpart D </w:t>
        </w:r>
      </w:hyperlink>
      <w:r>
        <w:rPr>
          <w:rFonts w:ascii="Times New Roman"/>
          <w:sz w:val="24"/>
        </w:rPr>
        <w:t>applies (</w:t>
      </w:r>
      <w:r>
        <w:rPr>
          <w:rFonts w:ascii="Times New Roman"/>
          <w:b/>
          <w:sz w:val="24"/>
        </w:rPr>
        <w:t>this subpart applies to all research</w:t>
      </w:r>
      <w:r>
        <w:rPr>
          <w:rFonts w:ascii="Times New Roman"/>
          <w:b/>
          <w:spacing w:val="-32"/>
          <w:sz w:val="24"/>
        </w:rPr>
        <w:t xml:space="preserve"> </w:t>
      </w:r>
      <w:r>
        <w:rPr>
          <w:rFonts w:ascii="Times New Roman"/>
          <w:b/>
          <w:sz w:val="24"/>
        </w:rPr>
        <w:t>involving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children as subjects)</w:t>
      </w:r>
      <w:r>
        <w:rPr>
          <w:rFonts w:ascii="Times New Roman"/>
          <w:sz w:val="24"/>
        </w:rPr>
        <w:t>, either by sponsor requirement or institutional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choice, interviews with children and participant observation with children cannot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be exempt.</w:t>
      </w:r>
    </w:p>
    <w:p w:rsidR="004B3319" w:rsidRDefault="002F7D53">
      <w:pPr>
        <w:pStyle w:val="ListParagraph"/>
        <w:numPr>
          <w:ilvl w:val="0"/>
          <w:numId w:val="2"/>
        </w:numPr>
        <w:tabs>
          <w:tab w:val="left" w:pos="820"/>
        </w:tabs>
        <w:ind w:right="2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Research involving the collection or study of existing data (collected prior to</w:t>
      </w:r>
      <w:r>
        <w:rPr>
          <w:rFonts w:ascii="Times New Roman"/>
          <w:spacing w:val="-2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research for purposes other than the research) if the data is publicly available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or recorded by the investigator in such a manner that the subjects cannot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be identified</w:t>
      </w:r>
    </w:p>
    <w:p w:rsidR="004B3319" w:rsidRDefault="004B331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3319" w:rsidRDefault="004B331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4B3319" w:rsidRDefault="002F7D53">
      <w:pPr>
        <w:pStyle w:val="BodyText"/>
        <w:ind w:left="820" w:right="283"/>
      </w:pPr>
      <w:r>
        <w:t xml:space="preserve">A complete list of eligible activities is </w:t>
      </w:r>
      <w:proofErr w:type="gramStart"/>
      <w:r>
        <w:t>provide</w:t>
      </w:r>
      <w:proofErr w:type="gramEnd"/>
      <w:r>
        <w:t xml:space="preserve"> at </w:t>
      </w:r>
      <w:hyperlink r:id="rId11" w:anchor="46.101">
        <w:r>
          <w:rPr>
            <w:color w:val="800000"/>
            <w:u w:val="single" w:color="800000"/>
          </w:rPr>
          <w:t>45 CFR</w:t>
        </w:r>
        <w:r>
          <w:rPr>
            <w:color w:val="800000"/>
            <w:spacing w:val="-27"/>
            <w:u w:val="single" w:color="800000"/>
          </w:rPr>
          <w:t xml:space="preserve"> </w:t>
        </w:r>
        <w:r>
          <w:rPr>
            <w:color w:val="800000"/>
            <w:u w:val="single" w:color="800000"/>
          </w:rPr>
          <w:t>46.101</w:t>
        </w:r>
      </w:hyperlink>
      <w:r>
        <w:t>.</w:t>
      </w:r>
    </w:p>
    <w:p w:rsidR="004B3319" w:rsidRDefault="004B3319">
      <w:pPr>
        <w:sectPr w:rsidR="004B3319">
          <w:footerReference w:type="default" r:id="rId12"/>
          <w:type w:val="continuous"/>
          <w:pgSz w:w="12240" w:h="15840"/>
          <w:pgMar w:top="1400" w:right="1720" w:bottom="280" w:left="1700" w:header="720" w:footer="720" w:gutter="0"/>
          <w:cols w:space="720"/>
        </w:sectPr>
      </w:pPr>
    </w:p>
    <w:p w:rsidR="004B3319" w:rsidRDefault="002F7D53">
      <w:pPr>
        <w:pStyle w:val="BodyText"/>
        <w:spacing w:before="58"/>
        <w:ind w:left="120" w:right="184"/>
      </w:pPr>
      <w:r>
        <w:rPr>
          <w:u w:val="single" w:color="000000"/>
        </w:rPr>
        <w:lastRenderedPageBreak/>
        <w:t>Research Eligible for Expedited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Review</w:t>
      </w:r>
      <w:r>
        <w:t>:</w:t>
      </w:r>
    </w:p>
    <w:p w:rsidR="004B3319" w:rsidRDefault="004B3319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4B3319" w:rsidRDefault="002F7D53">
      <w:pPr>
        <w:pStyle w:val="BodyText"/>
        <w:ind w:left="120" w:right="184"/>
      </w:pPr>
      <w:r>
        <w:t>To be eligible for expedited review research must meet two</w:t>
      </w:r>
      <w:r>
        <w:rPr>
          <w:spacing w:val="-4"/>
        </w:rPr>
        <w:t xml:space="preserve"> </w:t>
      </w:r>
      <w:r>
        <w:t>criteria:</w:t>
      </w:r>
    </w:p>
    <w:p w:rsidR="004B3319" w:rsidRDefault="004B3319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4B3319" w:rsidRDefault="002F7D53">
      <w:pPr>
        <w:pStyle w:val="ListParagraph"/>
        <w:numPr>
          <w:ilvl w:val="0"/>
          <w:numId w:val="1"/>
        </w:numPr>
        <w:tabs>
          <w:tab w:val="left" w:pos="841"/>
        </w:tabs>
        <w:ind w:right="206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Pose no more than minimal risk to subjects. </w:t>
      </w:r>
      <w:proofErr w:type="gramStart"/>
      <w:r>
        <w:rPr>
          <w:rFonts w:ascii="Times New Roman"/>
          <w:sz w:val="24"/>
        </w:rPr>
        <w:t>"No more than minimal risk"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means that "the probability and magnitude of harm or discomfort anticipated in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the research are not greater in and of themselves than those ordinarily encountered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in daily life or during the performance of routine physical or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psychological examinations 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tests."</w:t>
      </w:r>
      <w:proofErr w:type="gramEnd"/>
    </w:p>
    <w:p w:rsidR="004B3319" w:rsidRDefault="004B331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3319" w:rsidRDefault="002F7D53">
      <w:pPr>
        <w:pStyle w:val="ListParagraph"/>
        <w:numPr>
          <w:ilvl w:val="0"/>
          <w:numId w:val="1"/>
        </w:numPr>
        <w:tabs>
          <w:tab w:val="left" w:pos="841"/>
        </w:tabs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Consist of one or more </w:t>
      </w:r>
      <w:hyperlink r:id="rId13">
        <w:r>
          <w:rPr>
            <w:rFonts w:ascii="Times New Roman"/>
            <w:color w:val="800000"/>
            <w:sz w:val="24"/>
            <w:u w:val="single" w:color="800000"/>
          </w:rPr>
          <w:t xml:space="preserve">research activities specified in the regulations </w:t>
        </w:r>
      </w:hyperlink>
      <w:r>
        <w:rPr>
          <w:rFonts w:ascii="Times New Roman"/>
          <w:color w:val="800000"/>
          <w:sz w:val="24"/>
        </w:rPr>
        <w:t>(46 Part</w:t>
      </w:r>
      <w:r>
        <w:rPr>
          <w:rFonts w:ascii="Times New Roman"/>
          <w:color w:val="800000"/>
          <w:spacing w:val="-13"/>
          <w:sz w:val="24"/>
        </w:rPr>
        <w:t xml:space="preserve"> </w:t>
      </w:r>
      <w:r>
        <w:rPr>
          <w:rFonts w:ascii="Times New Roman"/>
          <w:color w:val="800000"/>
          <w:sz w:val="24"/>
        </w:rPr>
        <w:t>46).</w:t>
      </w:r>
    </w:p>
    <w:p w:rsidR="004B3319" w:rsidRDefault="004B3319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4B3319" w:rsidRDefault="002F7D53">
      <w:pPr>
        <w:pStyle w:val="BodyText"/>
        <w:ind w:left="119" w:right="126"/>
      </w:pPr>
      <w:r>
        <w:t>Eligible activities are similar to those for exempt research (some surveys, interviews,</w:t>
      </w:r>
      <w:r>
        <w:rPr>
          <w:spacing w:val="-12"/>
        </w:rPr>
        <w:t xml:space="preserve"> </w:t>
      </w:r>
      <w:r>
        <w:t>and data analysis) with the addition of some minor and non-invasive medical</w:t>
      </w:r>
      <w:r>
        <w:rPr>
          <w:spacing w:val="16"/>
        </w:rPr>
        <w:t xml:space="preserve"> </w:t>
      </w:r>
      <w:r>
        <w:t>procedures, such as blood pressure readings, occasionally used by social and behavioral sciences.</w:t>
      </w:r>
      <w:r>
        <w:rPr>
          <w:spacing w:val="-7"/>
        </w:rPr>
        <w:t xml:space="preserve"> </w:t>
      </w:r>
      <w:r>
        <w:t>The preamble to the list of activities notes that if the primary risk to subjects is a breach</w:t>
      </w:r>
      <w:r>
        <w:rPr>
          <w:spacing w:val="-10"/>
        </w:rPr>
        <w:t xml:space="preserve"> </w:t>
      </w:r>
      <w:r>
        <w:t>of confidentiality and that risk can be managed to no more than minimal, the research</w:t>
      </w:r>
      <w:r>
        <w:rPr>
          <w:spacing w:val="-7"/>
        </w:rPr>
        <w:t xml:space="preserve"> </w:t>
      </w:r>
      <w:r>
        <w:t>may be reviewed with through expedited</w:t>
      </w:r>
      <w:r>
        <w:rPr>
          <w:spacing w:val="-5"/>
        </w:rPr>
        <w:t xml:space="preserve"> </w:t>
      </w:r>
      <w:r>
        <w:t>process.</w:t>
      </w:r>
    </w:p>
    <w:p w:rsidR="004B3319" w:rsidRDefault="004B331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3319" w:rsidRDefault="002F7D53">
      <w:pPr>
        <w:pStyle w:val="BodyText"/>
        <w:ind w:left="120" w:right="184"/>
      </w:pPr>
      <w:r>
        <w:t>Subject population and institutional policy may require review by a convened IRB</w:t>
      </w:r>
      <w:r>
        <w:rPr>
          <w:spacing w:val="-20"/>
        </w:rPr>
        <w:t xml:space="preserve"> </w:t>
      </w:r>
      <w:r>
        <w:t>even for a study with no more than minimal risk, such as a study of</w:t>
      </w:r>
      <w:r>
        <w:rPr>
          <w:spacing w:val="-12"/>
        </w:rPr>
        <w:t xml:space="preserve"> </w:t>
      </w:r>
      <w:proofErr w:type="spellStart"/>
      <w:r>
        <w:t>decisionally</w:t>
      </w:r>
      <w:proofErr w:type="spellEnd"/>
      <w:r>
        <w:t>-impaired individuals. If research involves more than minimal risk and/or does not fall into one</w:t>
      </w:r>
      <w:r>
        <w:rPr>
          <w:spacing w:val="-14"/>
        </w:rPr>
        <w:t xml:space="preserve"> </w:t>
      </w:r>
      <w:r>
        <w:t>of the categories of activity eligible for expedited review, it must be reviewed by</w:t>
      </w:r>
      <w:r>
        <w:rPr>
          <w:spacing w:val="-9"/>
        </w:rPr>
        <w:t xml:space="preserve"> </w:t>
      </w:r>
      <w:r>
        <w:t>a convened IRB. This review involves consideration by a larger, more diverse group,</w:t>
      </w:r>
      <w:r>
        <w:rPr>
          <w:spacing w:val="-12"/>
        </w:rPr>
        <w:t xml:space="preserve"> </w:t>
      </w:r>
      <w:r>
        <w:t>thus bringing more perspectives and more experience to the</w:t>
      </w:r>
      <w:r>
        <w:rPr>
          <w:spacing w:val="-7"/>
        </w:rPr>
        <w:t xml:space="preserve"> </w:t>
      </w:r>
      <w:r>
        <w:t>review.</w:t>
      </w:r>
    </w:p>
    <w:sectPr w:rsidR="004B3319">
      <w:pgSz w:w="12240" w:h="15840"/>
      <w:pgMar w:top="1380" w:right="17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820" w:rsidRDefault="003D3820" w:rsidP="00CD3B56">
      <w:r>
        <w:separator/>
      </w:r>
    </w:p>
  </w:endnote>
  <w:endnote w:type="continuationSeparator" w:id="0">
    <w:p w:rsidR="003D3820" w:rsidRDefault="003D3820" w:rsidP="00CD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56" w:rsidRPr="00CD3B56" w:rsidRDefault="00CD3B5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 w:rsidRPr="00CD3B56">
      <w:rPr>
        <w:rFonts w:asciiTheme="majorHAnsi" w:eastAsiaTheme="majorEastAsia" w:hAnsiTheme="majorHAnsi" w:cstheme="majorBidi"/>
        <w:sz w:val="16"/>
        <w:szCs w:val="16"/>
      </w:rPr>
      <w:t>Version July, 2016</w:t>
    </w:r>
    <w:r w:rsidRPr="00CD3B56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Pr="00CD3B56">
      <w:rPr>
        <w:rFonts w:asciiTheme="majorHAnsi" w:eastAsiaTheme="majorEastAsia" w:hAnsiTheme="majorHAnsi" w:cstheme="majorBidi"/>
        <w:sz w:val="16"/>
        <w:szCs w:val="16"/>
      </w:rPr>
      <w:t xml:space="preserve">Page </w:t>
    </w:r>
    <w:r w:rsidRPr="00CD3B56">
      <w:rPr>
        <w:rFonts w:eastAsiaTheme="minorEastAsia"/>
        <w:sz w:val="16"/>
        <w:szCs w:val="16"/>
      </w:rPr>
      <w:fldChar w:fldCharType="begin"/>
    </w:r>
    <w:r w:rsidRPr="00CD3B56">
      <w:rPr>
        <w:sz w:val="16"/>
        <w:szCs w:val="16"/>
      </w:rPr>
      <w:instrText xml:space="preserve"> PAGE   \* MERGEFORMAT </w:instrText>
    </w:r>
    <w:r w:rsidRPr="00CD3B56">
      <w:rPr>
        <w:rFonts w:eastAsiaTheme="minorEastAsia"/>
        <w:sz w:val="16"/>
        <w:szCs w:val="16"/>
      </w:rPr>
      <w:fldChar w:fldCharType="separate"/>
    </w:r>
    <w:r w:rsidRPr="00CD3B56">
      <w:rPr>
        <w:rFonts w:asciiTheme="majorHAnsi" w:eastAsiaTheme="majorEastAsia" w:hAnsiTheme="majorHAnsi" w:cstheme="majorBidi"/>
        <w:noProof/>
        <w:sz w:val="16"/>
        <w:szCs w:val="16"/>
      </w:rPr>
      <w:t>1</w:t>
    </w:r>
    <w:r w:rsidRPr="00CD3B56">
      <w:rPr>
        <w:rFonts w:asciiTheme="majorHAnsi" w:eastAsiaTheme="majorEastAsia" w:hAnsiTheme="majorHAnsi" w:cstheme="majorBidi"/>
        <w:noProof/>
        <w:sz w:val="16"/>
        <w:szCs w:val="16"/>
      </w:rPr>
      <w:fldChar w:fldCharType="end"/>
    </w:r>
  </w:p>
  <w:p w:rsidR="00CD3B56" w:rsidRPr="00CD3B56" w:rsidRDefault="00CD3B5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820" w:rsidRDefault="003D3820" w:rsidP="00CD3B56">
      <w:r>
        <w:separator/>
      </w:r>
    </w:p>
  </w:footnote>
  <w:footnote w:type="continuationSeparator" w:id="0">
    <w:p w:rsidR="003D3820" w:rsidRDefault="003D3820" w:rsidP="00CD3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6F24"/>
    <w:multiLevelType w:val="hybridMultilevel"/>
    <w:tmpl w:val="FA8C4F18"/>
    <w:lvl w:ilvl="0" w:tplc="CF6E3512">
      <w:start w:val="1"/>
      <w:numFmt w:val="decimal"/>
      <w:lvlText w:val="%1."/>
      <w:lvlJc w:val="left"/>
      <w:pPr>
        <w:ind w:left="840" w:hanging="721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EC8CF28">
      <w:start w:val="1"/>
      <w:numFmt w:val="bullet"/>
      <w:lvlText w:val="•"/>
      <w:lvlJc w:val="left"/>
      <w:pPr>
        <w:ind w:left="1642" w:hanging="721"/>
      </w:pPr>
      <w:rPr>
        <w:rFonts w:hint="default"/>
      </w:rPr>
    </w:lvl>
    <w:lvl w:ilvl="2" w:tplc="EC02A810">
      <w:start w:val="1"/>
      <w:numFmt w:val="bullet"/>
      <w:lvlText w:val="•"/>
      <w:lvlJc w:val="left"/>
      <w:pPr>
        <w:ind w:left="2444" w:hanging="721"/>
      </w:pPr>
      <w:rPr>
        <w:rFonts w:hint="default"/>
      </w:rPr>
    </w:lvl>
    <w:lvl w:ilvl="3" w:tplc="EF28722E">
      <w:start w:val="1"/>
      <w:numFmt w:val="bullet"/>
      <w:lvlText w:val="•"/>
      <w:lvlJc w:val="left"/>
      <w:pPr>
        <w:ind w:left="3246" w:hanging="721"/>
      </w:pPr>
      <w:rPr>
        <w:rFonts w:hint="default"/>
      </w:rPr>
    </w:lvl>
    <w:lvl w:ilvl="4" w:tplc="B71088BE">
      <w:start w:val="1"/>
      <w:numFmt w:val="bullet"/>
      <w:lvlText w:val="•"/>
      <w:lvlJc w:val="left"/>
      <w:pPr>
        <w:ind w:left="4048" w:hanging="721"/>
      </w:pPr>
      <w:rPr>
        <w:rFonts w:hint="default"/>
      </w:rPr>
    </w:lvl>
    <w:lvl w:ilvl="5" w:tplc="8662DF20">
      <w:start w:val="1"/>
      <w:numFmt w:val="bullet"/>
      <w:lvlText w:val="•"/>
      <w:lvlJc w:val="left"/>
      <w:pPr>
        <w:ind w:left="4850" w:hanging="721"/>
      </w:pPr>
      <w:rPr>
        <w:rFonts w:hint="default"/>
      </w:rPr>
    </w:lvl>
    <w:lvl w:ilvl="6" w:tplc="8C449D54">
      <w:start w:val="1"/>
      <w:numFmt w:val="bullet"/>
      <w:lvlText w:val="•"/>
      <w:lvlJc w:val="left"/>
      <w:pPr>
        <w:ind w:left="5652" w:hanging="721"/>
      </w:pPr>
      <w:rPr>
        <w:rFonts w:hint="default"/>
      </w:rPr>
    </w:lvl>
    <w:lvl w:ilvl="7" w:tplc="11C4CDF6">
      <w:start w:val="1"/>
      <w:numFmt w:val="bullet"/>
      <w:lvlText w:val="•"/>
      <w:lvlJc w:val="left"/>
      <w:pPr>
        <w:ind w:left="6454" w:hanging="721"/>
      </w:pPr>
      <w:rPr>
        <w:rFonts w:hint="default"/>
      </w:rPr>
    </w:lvl>
    <w:lvl w:ilvl="8" w:tplc="026E9446">
      <w:start w:val="1"/>
      <w:numFmt w:val="bullet"/>
      <w:lvlText w:val="•"/>
      <w:lvlJc w:val="left"/>
      <w:pPr>
        <w:ind w:left="7256" w:hanging="721"/>
      </w:pPr>
      <w:rPr>
        <w:rFonts w:hint="default"/>
      </w:rPr>
    </w:lvl>
  </w:abstractNum>
  <w:abstractNum w:abstractNumId="1">
    <w:nsid w:val="6CDC7D3C"/>
    <w:multiLevelType w:val="hybridMultilevel"/>
    <w:tmpl w:val="6E7C2A86"/>
    <w:lvl w:ilvl="0" w:tplc="BBC85D7C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B1A5BA4">
      <w:start w:val="1"/>
      <w:numFmt w:val="bullet"/>
      <w:lvlText w:val="•"/>
      <w:lvlJc w:val="left"/>
      <w:pPr>
        <w:ind w:left="1620" w:hanging="720"/>
      </w:pPr>
      <w:rPr>
        <w:rFonts w:hint="default"/>
      </w:rPr>
    </w:lvl>
    <w:lvl w:ilvl="2" w:tplc="203C0644">
      <w:start w:val="1"/>
      <w:numFmt w:val="bullet"/>
      <w:lvlText w:val="•"/>
      <w:lvlJc w:val="left"/>
      <w:pPr>
        <w:ind w:left="2420" w:hanging="720"/>
      </w:pPr>
      <w:rPr>
        <w:rFonts w:hint="default"/>
      </w:rPr>
    </w:lvl>
    <w:lvl w:ilvl="3" w:tplc="CB8C6DBC">
      <w:start w:val="1"/>
      <w:numFmt w:val="bullet"/>
      <w:lvlText w:val="•"/>
      <w:lvlJc w:val="left"/>
      <w:pPr>
        <w:ind w:left="3220" w:hanging="720"/>
      </w:pPr>
      <w:rPr>
        <w:rFonts w:hint="default"/>
      </w:rPr>
    </w:lvl>
    <w:lvl w:ilvl="4" w:tplc="50809A2A">
      <w:start w:val="1"/>
      <w:numFmt w:val="bullet"/>
      <w:lvlText w:val="•"/>
      <w:lvlJc w:val="left"/>
      <w:pPr>
        <w:ind w:left="4020" w:hanging="720"/>
      </w:pPr>
      <w:rPr>
        <w:rFonts w:hint="default"/>
      </w:rPr>
    </w:lvl>
    <w:lvl w:ilvl="5" w:tplc="D3503996">
      <w:start w:val="1"/>
      <w:numFmt w:val="bullet"/>
      <w:lvlText w:val="•"/>
      <w:lvlJc w:val="left"/>
      <w:pPr>
        <w:ind w:left="4820" w:hanging="720"/>
      </w:pPr>
      <w:rPr>
        <w:rFonts w:hint="default"/>
      </w:rPr>
    </w:lvl>
    <w:lvl w:ilvl="6" w:tplc="7BFAA312">
      <w:start w:val="1"/>
      <w:numFmt w:val="bullet"/>
      <w:lvlText w:val="•"/>
      <w:lvlJc w:val="left"/>
      <w:pPr>
        <w:ind w:left="5620" w:hanging="720"/>
      </w:pPr>
      <w:rPr>
        <w:rFonts w:hint="default"/>
      </w:rPr>
    </w:lvl>
    <w:lvl w:ilvl="7" w:tplc="82461DD6">
      <w:start w:val="1"/>
      <w:numFmt w:val="bullet"/>
      <w:lvlText w:val="•"/>
      <w:lvlJc w:val="left"/>
      <w:pPr>
        <w:ind w:left="6420" w:hanging="720"/>
      </w:pPr>
      <w:rPr>
        <w:rFonts w:hint="default"/>
      </w:rPr>
    </w:lvl>
    <w:lvl w:ilvl="8" w:tplc="10ECAE0A">
      <w:start w:val="1"/>
      <w:numFmt w:val="bullet"/>
      <w:lvlText w:val="•"/>
      <w:lvlJc w:val="left"/>
      <w:pPr>
        <w:ind w:left="7220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B3319"/>
    <w:rsid w:val="002F7D53"/>
    <w:rsid w:val="003D3820"/>
    <w:rsid w:val="004B3319"/>
    <w:rsid w:val="00A92DF1"/>
    <w:rsid w:val="00CD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92D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D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3B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B56"/>
  </w:style>
  <w:style w:type="paragraph" w:styleId="Footer">
    <w:name w:val="footer"/>
    <w:basedOn w:val="Normal"/>
    <w:link w:val="FooterChar"/>
    <w:uiPriority w:val="99"/>
    <w:unhideWhenUsed/>
    <w:rsid w:val="00CD3B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hs.gov/ohrp/humansubjects/guidance/expedited98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hs.gov/ohrp/humansubjects/guidance/45cfr46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hs.gov/ohrp/humansubjects/guidance/45cfr4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hs.gov/ohrp/humansubjects/guidance/45cfr46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571</Words>
  <Characters>3260</Characters>
  <Application>Microsoft Office Word</Application>
  <DocSecurity>0</DocSecurity>
  <Lines>27</Lines>
  <Paragraphs>7</Paragraphs>
  <ScaleCrop>false</ScaleCrop>
  <Company>Lincoln Univeristy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Sheet</dc:title>
  <dc:creator>Terra Hughes</dc:creator>
  <cp:lastModifiedBy>Nyangweso, Rispah</cp:lastModifiedBy>
  <cp:revision>4</cp:revision>
  <dcterms:created xsi:type="dcterms:W3CDTF">2016-07-27T11:02:00Z</dcterms:created>
  <dcterms:modified xsi:type="dcterms:W3CDTF">2016-08-01T15:01:00Z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2005-09-21T00:00:00Z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2016-07-27T00:00:00Z</vt:filetime>
  </property>
</Properties>
</file>